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0"/>
        <w:gridCol w:w="3285"/>
        <w:gridCol w:w="2816"/>
      </w:tblGrid>
      <w:tr w:rsidR="000554D4" w:rsidTr="00195C71">
        <w:trPr>
          <w:trHeight w:val="143"/>
          <w:tblHeader/>
          <w:jc w:val="center"/>
        </w:trPr>
        <w:tc>
          <w:tcPr>
            <w:tcW w:w="6440" w:type="dxa"/>
            <w:shd w:val="clear" w:color="auto" w:fill="C0C0C0"/>
            <w:vAlign w:val="center"/>
          </w:tcPr>
          <w:p w:rsidR="000554D4" w:rsidRDefault="000554D4" w:rsidP="000554D4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bookmarkStart w:id="0" w:name="_GoBack" w:colFirst="3" w:colLast="3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PARAMETRY WYMAGANE </w:t>
            </w:r>
          </w:p>
        </w:tc>
        <w:tc>
          <w:tcPr>
            <w:tcW w:w="3285" w:type="dxa"/>
            <w:shd w:val="clear" w:color="auto" w:fill="C0C0C0"/>
          </w:tcPr>
          <w:p w:rsidR="000554D4" w:rsidRDefault="000554D4" w:rsidP="00195C71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WYMAGANE</w:t>
            </w:r>
          </w:p>
        </w:tc>
        <w:tc>
          <w:tcPr>
            <w:tcW w:w="2816" w:type="dxa"/>
            <w:shd w:val="clear" w:color="auto" w:fill="C0C0C0"/>
            <w:vAlign w:val="center"/>
          </w:tcPr>
          <w:p w:rsidR="000554D4" w:rsidRDefault="000554D4" w:rsidP="00195C71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OFEROWANE</w:t>
            </w: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47746B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Aparat do izolacji DNA kompatybilny z  aparatem </w:t>
            </w:r>
            <w:proofErr w:type="spellStart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Cobas</w:t>
            </w:r>
            <w:proofErr w:type="spellEnd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  z 480 (będącym </w:t>
            </w:r>
            <w:r w:rsidR="0047746B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w posiadaniu Zamawiającego</w:t>
            </w: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), stanowiący razem platformę do oznaczania wirusa brodawczaka ludzkiego HPV wraz z niezbędnym do przeprowadzenia procesu doposażeniem sprzętowym (np. </w:t>
            </w:r>
            <w:proofErr w:type="spellStart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termomixer</w:t>
            </w:r>
            <w:proofErr w:type="spellEnd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, </w:t>
            </w:r>
            <w:proofErr w:type="spellStart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termoblok</w:t>
            </w:r>
            <w:proofErr w:type="spellEnd"/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)</w:t>
            </w:r>
          </w:p>
        </w:tc>
        <w:tc>
          <w:tcPr>
            <w:tcW w:w="3285" w:type="dxa"/>
          </w:tcPr>
          <w:p w:rsidR="000554D4" w:rsidRDefault="000554D4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0554D4" w:rsidRDefault="000554D4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0554D4" w:rsidRDefault="000554D4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Zestaw kompletnych odczynników do izolacji DNA z próbek w kierunku wirusa brodawczaka ludzkiego HPV,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hd w:val="clear" w:color="auto" w:fill="FFFFFF"/>
              <w:spacing w:line="360" w:lineRule="auto"/>
              <w:rPr>
                <w:rFonts w:ascii="Bookman Old Style" w:hAnsi="Bookman Old Style" w:cs="Calibri"/>
                <w:sz w:val="20"/>
                <w:szCs w:val="16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Wymaga się, aby odczynniki do izolacji były </w:t>
            </w:r>
            <w:proofErr w:type="spellStart"/>
            <w:r w:rsidRPr="000554D4">
              <w:rPr>
                <w:rFonts w:ascii="Bookman Old Style" w:hAnsi="Bookman Old Style" w:cs="Calibri"/>
                <w:sz w:val="20"/>
                <w:szCs w:val="16"/>
              </w:rPr>
              <w:t>zwalidowane</w:t>
            </w:r>
            <w:proofErr w:type="spellEnd"/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 na platformę </w:t>
            </w:r>
            <w:proofErr w:type="spellStart"/>
            <w:r w:rsidRPr="000554D4">
              <w:rPr>
                <w:rFonts w:ascii="Bookman Old Style" w:hAnsi="Bookman Old Style" w:cs="Calibri"/>
                <w:sz w:val="20"/>
                <w:szCs w:val="16"/>
              </w:rPr>
              <w:t>Cobas</w:t>
            </w:r>
            <w:proofErr w:type="spellEnd"/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 4800, 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Zestaw kompletnych odczynników wraz z wymaganymi kontrolami do detekcji DNA wirusa brodawczaka ludzkiego HPV metodą Q-PCR,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26CAC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C26CAC" w:rsidRPr="000554D4" w:rsidRDefault="00C26CAC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Wymaga się aby odczynniki do detekcji były </w:t>
            </w:r>
            <w:proofErr w:type="spellStart"/>
            <w:r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zwalidowane</w:t>
            </w:r>
            <w:proofErr w:type="spellEnd"/>
            <w:r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 na platformę </w:t>
            </w:r>
            <w:proofErr w:type="spellStart"/>
            <w:r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Cobas</w:t>
            </w:r>
            <w:proofErr w:type="spellEnd"/>
            <w:r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 xml:space="preserve"> 4800</w:t>
            </w:r>
          </w:p>
        </w:tc>
        <w:tc>
          <w:tcPr>
            <w:tcW w:w="3285" w:type="dxa"/>
          </w:tcPr>
          <w:p w:rsidR="00C26CAC" w:rsidRPr="00EF3C22" w:rsidRDefault="00C26CAC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C26CAC" w:rsidRDefault="00C26CAC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>Zestaw do detekcji wykrywa 14 genotypów HR HPV: 16, 18, 31, 33, 35, 39, 45, 51, 52, 56, 58, 59, 66, 68,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lastRenderedPageBreak/>
              <w:t>Wymagana kontrola obecności materiału biologicznego w próbce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  <w:t>Wymagana pozytywna walidacja kliniczna na co najmniej jedną z edycji platformy VALGENT 1/2/3/4,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0554D4">
        <w:trPr>
          <w:trHeight w:val="425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Zestaw spełnia kryteria </w:t>
            </w:r>
            <w:proofErr w:type="spellStart"/>
            <w:r w:rsidRPr="000554D4">
              <w:rPr>
                <w:rFonts w:ascii="Bookman Old Style" w:hAnsi="Bookman Old Style" w:cs="Calibri"/>
                <w:sz w:val="20"/>
                <w:szCs w:val="16"/>
              </w:rPr>
              <w:t>Meijer’a</w:t>
            </w:r>
            <w:proofErr w:type="spellEnd"/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>Wielkość zestawów: jedno op.- 240 testów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color w:val="212121"/>
                <w:sz w:val="20"/>
                <w:szCs w:val="16"/>
              </w:rPr>
              <w:t>W zestawie znajdują się wszystkie niezbędne odczynniki i materiały zużywalne (np. probówki, płytki/kartridże, końcówki) do przeprowadzenia izolacji oraz do przeprowadzenia amplifikacji DNA wirusa HPV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195C71">
        <w:trPr>
          <w:trHeight w:val="143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hd w:val="clear" w:color="auto" w:fill="FFFFFF"/>
              <w:spacing w:line="360" w:lineRule="auto"/>
              <w:rPr>
                <w:rFonts w:ascii="Bookman Old Style" w:hAnsi="Bookman Old Style" w:cs="Calibri"/>
                <w:sz w:val="20"/>
                <w:szCs w:val="16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>Posiada certyfikat CE IVD,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554D4" w:rsidTr="000554D4">
        <w:trPr>
          <w:trHeight w:val="70"/>
          <w:jc w:val="center"/>
        </w:trPr>
        <w:tc>
          <w:tcPr>
            <w:tcW w:w="6440" w:type="dxa"/>
            <w:vAlign w:val="center"/>
          </w:tcPr>
          <w:p w:rsidR="000554D4" w:rsidRPr="000554D4" w:rsidRDefault="000554D4" w:rsidP="000554D4">
            <w:pPr>
              <w:spacing w:before="60" w:after="60" w:line="360" w:lineRule="auto"/>
              <w:rPr>
                <w:rFonts w:ascii="Bookman Old Style" w:hAnsi="Bookman Old Style" w:cs="Calibri"/>
                <w:color w:val="212121"/>
                <w:sz w:val="20"/>
                <w:szCs w:val="16"/>
                <w:shd w:val="clear" w:color="auto" w:fill="FFFFFF"/>
              </w:rPr>
            </w:pPr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Instrukcja do obsługi platformy </w:t>
            </w:r>
            <w:proofErr w:type="spellStart"/>
            <w:r w:rsidRPr="000554D4">
              <w:rPr>
                <w:rFonts w:ascii="Bookman Old Style" w:hAnsi="Bookman Old Style" w:cs="Calibri"/>
                <w:sz w:val="20"/>
                <w:szCs w:val="16"/>
              </w:rPr>
              <w:t>Cobas</w:t>
            </w:r>
            <w:proofErr w:type="spellEnd"/>
            <w:r w:rsidRPr="000554D4">
              <w:rPr>
                <w:rFonts w:ascii="Bookman Old Style" w:hAnsi="Bookman Old Style" w:cs="Calibri"/>
                <w:sz w:val="20"/>
                <w:szCs w:val="16"/>
              </w:rPr>
              <w:t xml:space="preserve"> 4800 w języku polskim dostępna w formie elektronicznej lub papierowej</w:t>
            </w:r>
          </w:p>
        </w:tc>
        <w:tc>
          <w:tcPr>
            <w:tcW w:w="3285" w:type="dxa"/>
          </w:tcPr>
          <w:p w:rsidR="000554D4" w:rsidRDefault="00EC396E" w:rsidP="00EC396E">
            <w:pPr>
              <w:spacing w:before="60" w:after="6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F3C22">
              <w:rPr>
                <w:rFonts w:ascii="Bookman Old Style" w:hAnsi="Bookman Old Style" w:cs="Arial"/>
                <w:sz w:val="20"/>
                <w:szCs w:val="20"/>
              </w:rPr>
              <w:t>TAK</w:t>
            </w:r>
          </w:p>
        </w:tc>
        <w:tc>
          <w:tcPr>
            <w:tcW w:w="2816" w:type="dxa"/>
            <w:vAlign w:val="center"/>
          </w:tcPr>
          <w:p w:rsidR="000554D4" w:rsidRDefault="000554D4" w:rsidP="00195C71">
            <w:pPr>
              <w:spacing w:before="60" w:after="6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bookmarkEnd w:id="0"/>
    </w:tbl>
    <w:p w:rsidR="0097768A" w:rsidRDefault="0097768A"/>
    <w:sectPr w:rsidR="0097768A" w:rsidSect="000554D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DE" w:rsidRDefault="00D649DE" w:rsidP="000554D4">
      <w:r>
        <w:separator/>
      </w:r>
    </w:p>
  </w:endnote>
  <w:endnote w:type="continuationSeparator" w:id="0">
    <w:p w:rsidR="00D649DE" w:rsidRDefault="00D649DE" w:rsidP="000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D4" w:rsidRPr="000554D4" w:rsidRDefault="000554D4" w:rsidP="000554D4">
    <w:pPr>
      <w:ind w:left="9912" w:firstLine="708"/>
      <w:rPr>
        <w:rFonts w:ascii="Bookman Old Style" w:hAnsi="Bookman Old Style"/>
        <w:sz w:val="16"/>
        <w:szCs w:val="16"/>
      </w:rPr>
    </w:pPr>
    <w:r>
      <w:tab/>
    </w:r>
    <w:r w:rsidRPr="000554D4">
      <w:rPr>
        <w:rFonts w:ascii="Bookman Old Style" w:hAnsi="Bookman Old Style"/>
        <w:sz w:val="16"/>
        <w:szCs w:val="16"/>
      </w:rPr>
      <w:t>…………....................................</w:t>
    </w:r>
  </w:p>
  <w:p w:rsidR="000554D4" w:rsidRPr="000554D4" w:rsidRDefault="000554D4" w:rsidP="000554D4">
    <w:pPr>
      <w:tabs>
        <w:tab w:val="left" w:pos="426"/>
      </w:tabs>
      <w:spacing w:line="360" w:lineRule="auto"/>
      <w:jc w:val="both"/>
      <w:rPr>
        <w:rFonts w:ascii="Bookman Old Style" w:hAnsi="Bookman Old Style"/>
        <w:sz w:val="16"/>
        <w:szCs w:val="16"/>
      </w:rPr>
    </w:pPr>
    <w:r w:rsidRPr="000554D4">
      <w:rPr>
        <w:rFonts w:ascii="Bookman Old Style" w:hAnsi="Bookman Old Style"/>
        <w:sz w:val="16"/>
        <w:szCs w:val="16"/>
      </w:rPr>
      <w:tab/>
    </w:r>
    <w:r w:rsidRPr="000554D4">
      <w:rPr>
        <w:rFonts w:ascii="Bookman Old Style" w:hAnsi="Bookman Old Style"/>
        <w:sz w:val="16"/>
        <w:szCs w:val="16"/>
      </w:rPr>
      <w:tab/>
    </w:r>
    <w:r w:rsidRPr="000554D4">
      <w:rPr>
        <w:rFonts w:ascii="Bookman Old Style" w:hAnsi="Bookman Old Style"/>
        <w:sz w:val="16"/>
        <w:szCs w:val="16"/>
      </w:rPr>
      <w:tab/>
    </w:r>
    <w:r w:rsidRPr="000554D4">
      <w:rPr>
        <w:rFonts w:ascii="Bookman Old Style" w:hAnsi="Bookman Old Style"/>
        <w:sz w:val="16"/>
        <w:szCs w:val="16"/>
      </w:rPr>
      <w:tab/>
      <w:t xml:space="preserve">   </w:t>
    </w:r>
    <w:r w:rsidRPr="000554D4">
      <w:rPr>
        <w:rFonts w:ascii="Bookman Old Style" w:hAnsi="Bookman Old Style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0554D4">
      <w:rPr>
        <w:rFonts w:ascii="Bookman Old Style" w:hAnsi="Bookman Old Style"/>
        <w:sz w:val="16"/>
        <w:szCs w:val="16"/>
      </w:rPr>
      <w:tab/>
      <w:t xml:space="preserve">                pieczątka i podpis Wykonawcy </w:t>
    </w:r>
  </w:p>
  <w:p w:rsidR="000554D4" w:rsidRPr="000554D4" w:rsidRDefault="000554D4" w:rsidP="000554D4">
    <w:pPr>
      <w:tabs>
        <w:tab w:val="center" w:pos="4536"/>
        <w:tab w:val="right" w:pos="9072"/>
      </w:tabs>
      <w:ind w:right="360"/>
      <w:jc w:val="center"/>
      <w:rPr>
        <w:rFonts w:ascii="Bookman Old Style" w:hAnsi="Bookman Old Style"/>
        <w:sz w:val="16"/>
        <w:szCs w:val="16"/>
      </w:rPr>
    </w:pPr>
    <w:r w:rsidRPr="000554D4">
      <w:rPr>
        <w:rFonts w:ascii="Bookman Old Style" w:hAnsi="Bookman Old Style"/>
        <w:sz w:val="16"/>
        <w:szCs w:val="16"/>
      </w:rPr>
      <w:t xml:space="preserve">str. </w:t>
    </w:r>
    <w:r w:rsidRPr="000554D4">
      <w:rPr>
        <w:rFonts w:ascii="Bookman Old Style" w:hAnsi="Bookman Old Style"/>
        <w:sz w:val="16"/>
        <w:szCs w:val="16"/>
      </w:rPr>
      <w:fldChar w:fldCharType="begin"/>
    </w:r>
    <w:r w:rsidRPr="000554D4">
      <w:rPr>
        <w:rFonts w:ascii="Bookman Old Style" w:hAnsi="Bookman Old Style"/>
        <w:sz w:val="16"/>
        <w:szCs w:val="16"/>
      </w:rPr>
      <w:instrText xml:space="preserve"> PAGE </w:instrText>
    </w:r>
    <w:r w:rsidRPr="000554D4">
      <w:rPr>
        <w:rFonts w:ascii="Bookman Old Style" w:hAnsi="Bookman Old Style"/>
        <w:sz w:val="16"/>
        <w:szCs w:val="16"/>
      </w:rPr>
      <w:fldChar w:fldCharType="separate"/>
    </w:r>
    <w:r w:rsidR="009844FF">
      <w:rPr>
        <w:rFonts w:ascii="Bookman Old Style" w:hAnsi="Bookman Old Style"/>
        <w:noProof/>
        <w:sz w:val="16"/>
        <w:szCs w:val="16"/>
      </w:rPr>
      <w:t>2</w:t>
    </w:r>
    <w:r w:rsidRPr="000554D4">
      <w:rPr>
        <w:rFonts w:ascii="Bookman Old Style" w:hAnsi="Bookman Old Style"/>
        <w:sz w:val="16"/>
        <w:szCs w:val="16"/>
      </w:rPr>
      <w:fldChar w:fldCharType="end"/>
    </w:r>
    <w:r w:rsidRPr="000554D4">
      <w:rPr>
        <w:rFonts w:ascii="Bookman Old Style" w:hAnsi="Bookman Old Style"/>
        <w:sz w:val="16"/>
        <w:szCs w:val="16"/>
      </w:rPr>
      <w:t xml:space="preserve"> / </w:t>
    </w:r>
    <w:r w:rsidRPr="000554D4">
      <w:rPr>
        <w:rFonts w:ascii="Bookman Old Style" w:hAnsi="Bookman Old Style"/>
        <w:sz w:val="16"/>
        <w:szCs w:val="16"/>
      </w:rPr>
      <w:fldChar w:fldCharType="begin"/>
    </w:r>
    <w:r w:rsidRPr="000554D4">
      <w:rPr>
        <w:rFonts w:ascii="Bookman Old Style" w:hAnsi="Bookman Old Style"/>
        <w:sz w:val="16"/>
        <w:szCs w:val="16"/>
      </w:rPr>
      <w:instrText xml:space="preserve"> NUMPAGES </w:instrText>
    </w:r>
    <w:r w:rsidRPr="000554D4">
      <w:rPr>
        <w:rFonts w:ascii="Bookman Old Style" w:hAnsi="Bookman Old Style"/>
        <w:sz w:val="16"/>
        <w:szCs w:val="16"/>
      </w:rPr>
      <w:fldChar w:fldCharType="separate"/>
    </w:r>
    <w:r w:rsidR="009844FF">
      <w:rPr>
        <w:rFonts w:ascii="Bookman Old Style" w:hAnsi="Bookman Old Style"/>
        <w:noProof/>
        <w:sz w:val="16"/>
        <w:szCs w:val="16"/>
      </w:rPr>
      <w:t>2</w:t>
    </w:r>
    <w:r w:rsidRPr="000554D4">
      <w:rPr>
        <w:rFonts w:ascii="Bookman Old Style" w:hAnsi="Bookman Old Style"/>
        <w:sz w:val="16"/>
        <w:szCs w:val="16"/>
      </w:rPr>
      <w:fldChar w:fldCharType="end"/>
    </w:r>
  </w:p>
  <w:p w:rsidR="000554D4" w:rsidRDefault="000554D4" w:rsidP="000554D4">
    <w:pPr>
      <w:pStyle w:val="Stopka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DE" w:rsidRDefault="00D649DE" w:rsidP="000554D4">
      <w:r>
        <w:separator/>
      </w:r>
    </w:p>
  </w:footnote>
  <w:footnote w:type="continuationSeparator" w:id="0">
    <w:p w:rsidR="00D649DE" w:rsidRDefault="00D649DE" w:rsidP="0005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D4" w:rsidRPr="000554D4" w:rsidRDefault="000554D4" w:rsidP="00032313">
    <w:pPr>
      <w:pBdr>
        <w:bottom w:val="single" w:sz="12" w:space="0" w:color="auto"/>
      </w:pBdr>
      <w:tabs>
        <w:tab w:val="center" w:pos="4536"/>
        <w:tab w:val="right" w:pos="9072"/>
      </w:tabs>
      <w:jc w:val="right"/>
      <w:rPr>
        <w:rFonts w:ascii="Bookman Old Style" w:hAnsi="Bookman Old Style"/>
        <w:bCs/>
        <w:color w:val="000000"/>
        <w:sz w:val="16"/>
        <w:szCs w:val="16"/>
      </w:rPr>
    </w:pPr>
    <w:r w:rsidRPr="000554D4">
      <w:rPr>
        <w:rFonts w:ascii="Bookman Old Style" w:hAnsi="Bookman Old Style"/>
        <w:bCs/>
        <w:color w:val="000000"/>
        <w:sz w:val="16"/>
        <w:szCs w:val="16"/>
      </w:rPr>
      <w:tab/>
      <w:t xml:space="preserve">          </w:t>
    </w:r>
    <w:r w:rsidR="00032313">
      <w:rPr>
        <w:rFonts w:ascii="Bookman Old Style" w:hAnsi="Bookman Old Style"/>
        <w:bCs/>
        <w:color w:val="000000"/>
        <w:sz w:val="16"/>
        <w:szCs w:val="16"/>
      </w:rPr>
      <w:t xml:space="preserve">   </w:t>
    </w:r>
    <w:r w:rsidR="00032313">
      <w:rPr>
        <w:rFonts w:ascii="Bookman Old Style" w:hAnsi="Bookman Old Style"/>
        <w:bCs/>
        <w:color w:val="000000"/>
        <w:sz w:val="16"/>
        <w:szCs w:val="16"/>
      </w:rPr>
      <w:tab/>
      <w:t>Załącznik</w:t>
    </w:r>
    <w:r w:rsidR="009844FF">
      <w:rPr>
        <w:rFonts w:ascii="Bookman Old Style" w:hAnsi="Bookman Old Style"/>
        <w:bCs/>
        <w:color w:val="000000"/>
        <w:sz w:val="16"/>
        <w:szCs w:val="16"/>
      </w:rPr>
      <w:t xml:space="preserve"> nr 2 do zapytania DO/DZ-072-187</w:t>
    </w:r>
    <w:r w:rsidR="00032313">
      <w:rPr>
        <w:rFonts w:ascii="Bookman Old Style" w:hAnsi="Bookman Old Style"/>
        <w:bCs/>
        <w:color w:val="000000"/>
        <w:sz w:val="16"/>
        <w:szCs w:val="16"/>
      </w:rPr>
      <w:t>/21</w:t>
    </w:r>
  </w:p>
  <w:p w:rsidR="000554D4" w:rsidRPr="000554D4" w:rsidRDefault="000554D4" w:rsidP="000554D4">
    <w:pPr>
      <w:rPr>
        <w:rFonts w:ascii="Bookman Old Style" w:hAnsi="Bookman Old Style" w:cs="Arial"/>
        <w:sz w:val="16"/>
        <w:szCs w:val="16"/>
      </w:rPr>
    </w:pPr>
    <w:r w:rsidRPr="000554D4">
      <w:rPr>
        <w:rFonts w:ascii="Bookman Old Style" w:hAnsi="Bookman Old Style" w:cs="Arial"/>
        <w:sz w:val="16"/>
        <w:szCs w:val="16"/>
      </w:rPr>
      <w:t xml:space="preserve"> ............................................................</w:t>
    </w:r>
  </w:p>
  <w:p w:rsidR="000554D4" w:rsidRPr="000554D4" w:rsidRDefault="000554D4" w:rsidP="000554D4">
    <w:pPr>
      <w:rPr>
        <w:rFonts w:ascii="Bookman Old Style" w:hAnsi="Bookman Old Style" w:cs="Arial"/>
        <w:sz w:val="16"/>
        <w:szCs w:val="16"/>
      </w:rPr>
    </w:pPr>
    <w:r w:rsidRPr="000554D4">
      <w:rPr>
        <w:rFonts w:ascii="Bookman Old Style" w:hAnsi="Bookman Old Style" w:cs="Arial"/>
        <w:sz w:val="16"/>
        <w:szCs w:val="16"/>
      </w:rPr>
      <w:t xml:space="preserve">        Pieczęć firmowa Wykonawcy</w:t>
    </w:r>
  </w:p>
  <w:p w:rsidR="000554D4" w:rsidRPr="000554D4" w:rsidRDefault="000554D4" w:rsidP="000554D4">
    <w:pPr>
      <w:rPr>
        <w:rFonts w:ascii="Bookman Old Style" w:hAnsi="Bookman Old Style" w:cs="Arial"/>
        <w:sz w:val="16"/>
        <w:szCs w:val="16"/>
      </w:rPr>
    </w:pPr>
  </w:p>
  <w:p w:rsidR="000554D4" w:rsidRPr="000554D4" w:rsidRDefault="000554D4" w:rsidP="000554D4">
    <w:pPr>
      <w:jc w:val="center"/>
      <w:rPr>
        <w:rFonts w:ascii="Bookman Old Style" w:hAnsi="Bookman Old Style" w:cs="Arial"/>
        <w:sz w:val="16"/>
        <w:szCs w:val="16"/>
      </w:rPr>
    </w:pPr>
  </w:p>
  <w:p w:rsidR="000554D4" w:rsidRPr="000554D4" w:rsidRDefault="000554D4" w:rsidP="000554D4">
    <w:pPr>
      <w:keepNext/>
      <w:spacing w:line="360" w:lineRule="auto"/>
      <w:jc w:val="center"/>
      <w:outlineLvl w:val="1"/>
      <w:rPr>
        <w:rFonts w:ascii="Bookman Old Style" w:hAnsi="Bookman Old Style" w:cs="Arial"/>
        <w:bCs/>
        <w:sz w:val="16"/>
        <w:szCs w:val="16"/>
      </w:rPr>
    </w:pPr>
    <w:r w:rsidRPr="000554D4">
      <w:rPr>
        <w:rFonts w:ascii="Bookman Old Style" w:hAnsi="Bookman Old Style"/>
        <w:bCs/>
        <w:sz w:val="15"/>
        <w:szCs w:val="15"/>
      </w:rPr>
      <w:t>Narodowy Instytut Onkologii im. Marii Skłodowskiej-Curie Państwowy Instytut Badawczy, Oddział w Gliwicach,</w:t>
    </w:r>
    <w:r w:rsidRPr="000554D4">
      <w:rPr>
        <w:rFonts w:ascii="Bookman Old Style" w:hAnsi="Bookman Old Style" w:cs="Arial"/>
        <w:bCs/>
        <w:sz w:val="16"/>
        <w:szCs w:val="16"/>
      </w:rPr>
      <w:t xml:space="preserve"> 44-101  Gliwice  ul. Wybrzeże Armii Krajowej 15</w:t>
    </w:r>
  </w:p>
  <w:p w:rsidR="000554D4" w:rsidRPr="000554D4" w:rsidRDefault="000554D4" w:rsidP="000554D4">
    <w:pPr>
      <w:jc w:val="center"/>
      <w:rPr>
        <w:rFonts w:ascii="Bookman Old Style" w:hAnsi="Bookman Old Style"/>
        <w:b/>
        <w:bCs/>
        <w:color w:val="000000"/>
        <w:sz w:val="18"/>
        <w:szCs w:val="18"/>
      </w:rPr>
    </w:pPr>
    <w:r w:rsidRPr="000554D4">
      <w:rPr>
        <w:rFonts w:ascii="Bookman Old Style" w:hAnsi="Bookman Old Style"/>
        <w:b/>
        <w:bCs/>
        <w:color w:val="000000"/>
        <w:sz w:val="18"/>
        <w:szCs w:val="18"/>
      </w:rPr>
      <w:t>MINIMALNE PARAMETRY WYMAGALNE</w:t>
    </w:r>
  </w:p>
  <w:p w:rsidR="000554D4" w:rsidRPr="000554D4" w:rsidRDefault="00EC396E" w:rsidP="000554D4">
    <w:pPr>
      <w:tabs>
        <w:tab w:val="center" w:pos="7182"/>
        <w:tab w:val="left" w:pos="12811"/>
      </w:tabs>
      <w:ind w:left="360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S</w:t>
    </w:r>
    <w:r w:rsidRPr="00EC396E">
      <w:rPr>
        <w:rFonts w:ascii="Bookman Old Style" w:hAnsi="Bookman Old Style"/>
        <w:b/>
        <w:sz w:val="20"/>
        <w:szCs w:val="20"/>
      </w:rPr>
      <w:t>ukcesywne dostawy odczynników do ekstrakcji i detekcji wirusa brodawczaka ludzkiego -DNA HPV, ma</w:t>
    </w:r>
    <w:r w:rsidR="00C82527">
      <w:rPr>
        <w:rFonts w:ascii="Bookman Old Style" w:hAnsi="Bookman Old Style"/>
        <w:b/>
        <w:sz w:val="20"/>
        <w:szCs w:val="20"/>
      </w:rPr>
      <w:t>teriały zużywalne oraz dzierżawa</w:t>
    </w:r>
    <w:r w:rsidRPr="00EC396E">
      <w:rPr>
        <w:rFonts w:ascii="Bookman Old Style" w:hAnsi="Bookman Old Style"/>
        <w:b/>
        <w:sz w:val="20"/>
        <w:szCs w:val="20"/>
      </w:rPr>
      <w:t xml:space="preserve"> aparatu do izolacji DNA wirusa HPV- wchodzącego w skład platformy </w:t>
    </w:r>
    <w:proofErr w:type="spellStart"/>
    <w:r w:rsidRPr="00EC396E">
      <w:rPr>
        <w:rFonts w:ascii="Bookman Old Style" w:hAnsi="Bookman Old Style"/>
        <w:b/>
        <w:sz w:val="20"/>
        <w:szCs w:val="20"/>
      </w:rPr>
      <w:t>Cobas</w:t>
    </w:r>
    <w:proofErr w:type="spellEnd"/>
    <w:r w:rsidRPr="00EC396E">
      <w:rPr>
        <w:rFonts w:ascii="Bookman Old Style" w:hAnsi="Bookman Old Style"/>
        <w:b/>
        <w:sz w:val="20"/>
        <w:szCs w:val="20"/>
      </w:rPr>
      <w:t xml:space="preserve"> 4800</w:t>
    </w:r>
    <w:r w:rsidR="000554D4" w:rsidRPr="000554D4">
      <w:rPr>
        <w:rFonts w:ascii="Bookman Old Style" w:hAnsi="Bookman Old Style"/>
        <w:b/>
        <w:sz w:val="20"/>
        <w:szCs w:val="20"/>
      </w:rPr>
      <w:t xml:space="preserve"> dla Narodowego Instytutu Onkologii im. Marii Skłodowskiej Curie, Państwowego Instytutu Badawczego, Oddział w Gliwicach</w:t>
    </w:r>
  </w:p>
  <w:p w:rsidR="000554D4" w:rsidRDefault="00055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365"/>
    <w:multiLevelType w:val="hybridMultilevel"/>
    <w:tmpl w:val="2570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309"/>
    <w:multiLevelType w:val="hybridMultilevel"/>
    <w:tmpl w:val="3C44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2A7"/>
    <w:multiLevelType w:val="hybridMultilevel"/>
    <w:tmpl w:val="E00019D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724B3"/>
    <w:multiLevelType w:val="multilevel"/>
    <w:tmpl w:val="37FC3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sz w:val="18"/>
      </w:rPr>
    </w:lvl>
  </w:abstractNum>
  <w:abstractNum w:abstractNumId="4" w15:restartNumberingAfterBreak="0">
    <w:nsid w:val="132227BD"/>
    <w:multiLevelType w:val="hybridMultilevel"/>
    <w:tmpl w:val="64D2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80D"/>
    <w:multiLevelType w:val="hybridMultilevel"/>
    <w:tmpl w:val="71C6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6216"/>
    <w:multiLevelType w:val="hybridMultilevel"/>
    <w:tmpl w:val="41B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2897"/>
    <w:multiLevelType w:val="hybridMultilevel"/>
    <w:tmpl w:val="E4900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1128"/>
    <w:multiLevelType w:val="hybridMultilevel"/>
    <w:tmpl w:val="99EA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4D2D"/>
    <w:multiLevelType w:val="hybridMultilevel"/>
    <w:tmpl w:val="F956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304AF"/>
    <w:multiLevelType w:val="hybridMultilevel"/>
    <w:tmpl w:val="D21C2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5215C"/>
    <w:multiLevelType w:val="hybridMultilevel"/>
    <w:tmpl w:val="10E4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683"/>
    <w:multiLevelType w:val="hybridMultilevel"/>
    <w:tmpl w:val="EBE09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502"/>
    <w:multiLevelType w:val="hybridMultilevel"/>
    <w:tmpl w:val="10D8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D6F90"/>
    <w:multiLevelType w:val="hybridMultilevel"/>
    <w:tmpl w:val="5C80270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E25957"/>
    <w:multiLevelType w:val="hybridMultilevel"/>
    <w:tmpl w:val="48B2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8CA"/>
    <w:multiLevelType w:val="hybridMultilevel"/>
    <w:tmpl w:val="AB82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25D63"/>
    <w:multiLevelType w:val="hybridMultilevel"/>
    <w:tmpl w:val="E4B0C7CC"/>
    <w:lvl w:ilvl="0" w:tplc="0415000B">
      <w:start w:val="1"/>
      <w:numFmt w:val="bullet"/>
      <w:lvlText w:val=""/>
      <w:lvlJc w:val="left"/>
      <w:pPr>
        <w:ind w:left="1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8" w15:restartNumberingAfterBreak="0">
    <w:nsid w:val="70A528AA"/>
    <w:multiLevelType w:val="hybridMultilevel"/>
    <w:tmpl w:val="0DD27AD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72EB6A52"/>
    <w:multiLevelType w:val="hybridMultilevel"/>
    <w:tmpl w:val="18B2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23D1"/>
    <w:multiLevelType w:val="hybridMultilevel"/>
    <w:tmpl w:val="66EE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74E6"/>
    <w:multiLevelType w:val="hybridMultilevel"/>
    <w:tmpl w:val="EBB6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2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5"/>
  </w:num>
  <w:num w:numId="16">
    <w:abstractNumId w:val="18"/>
  </w:num>
  <w:num w:numId="17">
    <w:abstractNumId w:val="9"/>
  </w:num>
  <w:num w:numId="18">
    <w:abstractNumId w:val="16"/>
  </w:num>
  <w:num w:numId="19">
    <w:abstractNumId w:val="13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4"/>
    <w:rsid w:val="00032313"/>
    <w:rsid w:val="000554D4"/>
    <w:rsid w:val="00347841"/>
    <w:rsid w:val="0047746B"/>
    <w:rsid w:val="00573693"/>
    <w:rsid w:val="0097768A"/>
    <w:rsid w:val="009844FF"/>
    <w:rsid w:val="00B35055"/>
    <w:rsid w:val="00B95DC6"/>
    <w:rsid w:val="00C26CAC"/>
    <w:rsid w:val="00C82527"/>
    <w:rsid w:val="00D649DE"/>
    <w:rsid w:val="00E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B2DB-46DE-410D-AC7A-4FAD777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D4"/>
  </w:style>
  <w:style w:type="paragraph" w:styleId="Stopka">
    <w:name w:val="footer"/>
    <w:basedOn w:val="Normalny"/>
    <w:link w:val="StopkaZnak"/>
    <w:uiPriority w:val="99"/>
    <w:unhideWhenUsed/>
    <w:rsid w:val="00055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D4"/>
  </w:style>
  <w:style w:type="paragraph" w:styleId="Tekstpodstawowy2">
    <w:name w:val="Body Text 2"/>
    <w:basedOn w:val="Normalny"/>
    <w:link w:val="Tekstpodstawowy2Znak"/>
    <w:semiHidden/>
    <w:rsid w:val="000554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5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Magdalena Filipek</cp:lastModifiedBy>
  <cp:revision>4</cp:revision>
  <cp:lastPrinted>2021-11-09T06:35:00Z</cp:lastPrinted>
  <dcterms:created xsi:type="dcterms:W3CDTF">2021-11-08T10:37:00Z</dcterms:created>
  <dcterms:modified xsi:type="dcterms:W3CDTF">2021-11-09T06:35:00Z</dcterms:modified>
</cp:coreProperties>
</file>