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6E" w:rsidRPr="00F46312" w:rsidRDefault="000B0F6E" w:rsidP="000B0F6E">
      <w:pPr>
        <w:rPr>
          <w:rFonts w:cstheme="minorHAnsi"/>
          <w:sz w:val="16"/>
        </w:rPr>
      </w:pPr>
      <w:r w:rsidRPr="00F46312">
        <w:rPr>
          <w:rFonts w:cstheme="minorHAnsi"/>
          <w:sz w:val="16"/>
        </w:rPr>
        <w:t>ZADANIE nr 1: Zestaw do oceny genów fuzyjnych oraz wariantów w komórkach nowotworowych z zastosowaniem sekwenatora nowej generacji MiniSeq (Illumina) wraz z analizą danych.</w:t>
      </w: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61"/>
        <w:gridCol w:w="3501"/>
        <w:gridCol w:w="1225"/>
        <w:gridCol w:w="1185"/>
        <w:gridCol w:w="1083"/>
        <w:gridCol w:w="1134"/>
        <w:gridCol w:w="1103"/>
        <w:gridCol w:w="1165"/>
        <w:gridCol w:w="1418"/>
      </w:tblGrid>
      <w:tr w:rsidR="00A54037" w:rsidRPr="00F46312" w:rsidTr="00F46312">
        <w:tc>
          <w:tcPr>
            <w:tcW w:w="568" w:type="dxa"/>
            <w:shd w:val="clear" w:color="auto" w:fill="DEEAF6" w:themeFill="accent1" w:themeFillTint="33"/>
          </w:tcPr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L.p.</w:t>
            </w:r>
          </w:p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DEEAF6" w:themeFill="accent1" w:themeFillTint="33"/>
          </w:tcPr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Nazwa produktu</w:t>
            </w:r>
          </w:p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01" w:type="dxa"/>
            <w:shd w:val="clear" w:color="auto" w:fill="DEEAF6" w:themeFill="accent1" w:themeFillTint="33"/>
          </w:tcPr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Wymagania</w:t>
            </w:r>
          </w:p>
          <w:p w:rsidR="00A54037" w:rsidRPr="00F46312" w:rsidRDefault="00A54037" w:rsidP="00A540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DEEAF6" w:themeFill="accent1" w:themeFillTint="33"/>
          </w:tcPr>
          <w:p w:rsidR="00A54037" w:rsidRPr="00F46312" w:rsidRDefault="00A54037" w:rsidP="00A540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J. m.</w:t>
            </w:r>
          </w:p>
          <w:p w:rsidR="00A54037" w:rsidRPr="00F46312" w:rsidRDefault="00A54037" w:rsidP="00A540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DEEAF6" w:themeFill="accent1" w:themeFillTint="33"/>
          </w:tcPr>
          <w:p w:rsidR="00A54037" w:rsidRPr="00F46312" w:rsidRDefault="00A54037" w:rsidP="00A540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Ilość szt.</w:t>
            </w:r>
          </w:p>
          <w:p w:rsidR="00A54037" w:rsidRPr="00F46312" w:rsidRDefault="00A54037" w:rsidP="00A540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54037" w:rsidRPr="00F46312" w:rsidRDefault="00A54037" w:rsidP="00F4631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Cena jedn.</w:t>
            </w:r>
            <w:r w:rsidRPr="00F46312">
              <w:rPr>
                <w:rFonts w:asciiTheme="majorHAnsi" w:hAnsiTheme="majorHAnsi" w:cstheme="majorHAnsi"/>
                <w:sz w:val="16"/>
                <w:szCs w:val="16"/>
              </w:rPr>
              <w:br/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54037" w:rsidRPr="00F46312" w:rsidRDefault="00A54037" w:rsidP="00F46312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54037" w:rsidRPr="00F46312" w:rsidRDefault="00A54037" w:rsidP="00F46312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54037" w:rsidRPr="00F46312" w:rsidRDefault="00A54037" w:rsidP="00F46312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54037" w:rsidRPr="00F46312" w:rsidRDefault="00A54037" w:rsidP="00F46312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Nr katalogowy/ nazwa producenta</w:t>
            </w:r>
          </w:p>
        </w:tc>
      </w:tr>
      <w:tr w:rsidR="00F46312" w:rsidRPr="00F46312" w:rsidTr="00F46312">
        <w:tc>
          <w:tcPr>
            <w:tcW w:w="568" w:type="dxa"/>
          </w:tcPr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A54037" w:rsidRPr="00F46312" w:rsidRDefault="00A54037" w:rsidP="00CA1A95">
            <w:pPr>
              <w:pStyle w:val="NormalnyWeb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Zestaw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FusionPlex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CTL do oceny genów fuzyjnych w nowotworach tarczycy oraz płuc z zastosowaniem sekwenatora nowej generacji MiniSeq (Illumina) wraz z analizą danych lub równoważny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01" w:type="dxa"/>
          </w:tcPr>
          <w:p w:rsidR="00A54037" w:rsidRPr="00F46312" w:rsidRDefault="00A54037" w:rsidP="00CA1A95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Zestaw powinien umożliwić ocenę fuzji genowych metodą sekwencjonowania nowej generacji dla genów wymienionych poniżej, które najczęściej ulegają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rearanżacjom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w komórkach raka: ALK; AXL; BRAF; CCND1; EGFR; FGFR1; FGFR2; FGFR3; MET; NRG1; NTRK1; NTRK2; NTRK3; PPARG; RAF1; RET; ROS1; THADA. Zestaw powinien też umożliwić ocenę ekspresji genów: ALK, BRAF, EGFR, MET, NTRK1, NTRK2, NTRK3, RET, ROS1. Zestaw powinien umożliwić wykonanie badania dla małych ilości materiału wyjściowego (ok. 10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ng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RNA) dla materiału świeżego. Zestaw powinien umożliwić ocenę fuzji genowych w materiale archiwalnym np. bloczki parafinowe. </w:t>
            </w:r>
          </w:p>
          <w:p w:rsidR="00A54037" w:rsidRPr="00F46312" w:rsidRDefault="00A54037" w:rsidP="00CA1A95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Proponowany produkt musi być kompatybilny z sekwenatorem MiniSeq Illumina co oznacza, że uzyskana biblioteka może być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sekwencjonowana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na tym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sekwenatorze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i nie wymaga zastosowania dodatkowych odczynników lub dodatkowego wyposażenia aparatu aby przystosować bibliotekę do sekwencjonowania z wykorzystaniem ww. aparatu.  </w:t>
            </w:r>
          </w:p>
          <w:p w:rsidR="00A54037" w:rsidRPr="00F46312" w:rsidRDefault="00A54037" w:rsidP="00CA1A95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Proponowany produkt musi zawierać odpowiednią ilość adapterów do przeprowadzenia reakcji</w:t>
            </w:r>
          </w:p>
          <w:p w:rsidR="00A54037" w:rsidRPr="00F46312" w:rsidRDefault="00A54037" w:rsidP="00CA1A95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Proponowany produkt musi umożliwiać wykonanie analizy otrzymanych danych.</w:t>
            </w:r>
          </w:p>
        </w:tc>
        <w:tc>
          <w:tcPr>
            <w:tcW w:w="122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1 op.-48 reakcji</w:t>
            </w:r>
          </w:p>
        </w:tc>
        <w:tc>
          <w:tcPr>
            <w:tcW w:w="118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6 opakowań</w:t>
            </w:r>
          </w:p>
        </w:tc>
        <w:tc>
          <w:tcPr>
            <w:tcW w:w="1083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6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46312" w:rsidRPr="00F46312" w:rsidTr="00F46312">
        <w:tc>
          <w:tcPr>
            <w:tcW w:w="568" w:type="dxa"/>
          </w:tcPr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361" w:type="dxa"/>
          </w:tcPr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Zestaw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VariantPlex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CTL do oceny zmian typu SNV, CNV oraz insercji/delecji w 31 genach związanych z rakiem tarczycy i płuc z zastosowaniem sekwenatora nowej generacji MiniSeq (Illumina) wraz z analizą danych lub równoważny.</w:t>
            </w:r>
          </w:p>
        </w:tc>
        <w:tc>
          <w:tcPr>
            <w:tcW w:w="3501" w:type="dxa"/>
          </w:tcPr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Zestaw powinien umożliwić wykrywanie zmian typu SNV, CNV,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indel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metodą sekwencjonowania nowej generacji dla 31 genów wymienionych poniżej, powiązanych z rakiem tarczycy i płuc: AKT1; ALK; BRAF; CCND1; CTNNB1; DDR2; EGFR; EIF1AX; ERBB2; FGFR1; FGFR2; FGFR3; GNAS; HRAS; IDH1; IDH2; KIT; KRAS; MAP2K1; MDM2; MET; NRAS; PDGFRA; PIK3CA; PTEN; RET; ROS1; STK11; TERT; TP53; TSHR.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Zestaw powinien umożliwić wykonanie badania dla małych ilości materiału wyjściowego (ok. 10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ng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DNA) dla materiału świeżego. Zestaw powinien umożliwić wykonanie badania na materiale archiwalnym z bloczka parafinowego.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Proponowany produkt musi być kompatybilny z sekwenatorem MiniSeq Illumina co oznacza, że uzyskana biblioteka może być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sekwencjonowana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na tym </w:t>
            </w:r>
            <w:proofErr w:type="spellStart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sekwenatorze</w:t>
            </w:r>
            <w:proofErr w:type="spellEnd"/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 i nie wymaga zastosowania dodatkowych odczynników lub dodatkowego wyposażenia aparatu aby przystosować bibliotekę do sekwencjonowania z wykorzystaniem ww. aparatu. 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Proponowany produkt musi zawierać odpowiednią ilość adapterów do przeprowadzenia reakcji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Proponowany produkt musi umożliwiać wykonanie analizy otrzymanych danych.</w:t>
            </w:r>
          </w:p>
          <w:p w:rsidR="00A54037" w:rsidRPr="00F46312" w:rsidRDefault="00A54037" w:rsidP="00CA1A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2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 op. – 8 lub 16 reakcji</w:t>
            </w:r>
          </w:p>
        </w:tc>
        <w:tc>
          <w:tcPr>
            <w:tcW w:w="118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1 lub 2 opakowania (całość na 16 oznaczeń)</w:t>
            </w:r>
          </w:p>
        </w:tc>
        <w:tc>
          <w:tcPr>
            <w:tcW w:w="1083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65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4037" w:rsidRPr="00F46312" w:rsidRDefault="00A54037" w:rsidP="00CA1A9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46312" w:rsidRPr="00F46312" w:rsidTr="00F46312">
        <w:tc>
          <w:tcPr>
            <w:tcW w:w="568" w:type="dxa"/>
          </w:tcPr>
          <w:p w:rsidR="00A54037" w:rsidRPr="00F46312" w:rsidRDefault="00A54037" w:rsidP="00415A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361" w:type="dxa"/>
          </w:tcPr>
          <w:p w:rsidR="00A54037" w:rsidRPr="00F46312" w:rsidRDefault="00A54037" w:rsidP="00415AFE">
            <w:pPr>
              <w:pStyle w:val="NormalnyWeb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Kulki magnetyczne do oczyszczania kwasów nukleinowych.</w:t>
            </w:r>
          </w:p>
        </w:tc>
        <w:tc>
          <w:tcPr>
            <w:tcW w:w="3501" w:type="dxa"/>
          </w:tcPr>
          <w:p w:rsidR="00A54037" w:rsidRPr="00F46312" w:rsidRDefault="00A54037" w:rsidP="00415AFE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Kulki magnetyczne do oczyszczania kwasów nukleinowych kompatybilne z zestawami opisanymi w punktach 1, 2, 3 oraz 4.</w:t>
            </w:r>
          </w:p>
          <w:p w:rsidR="00A54037" w:rsidRPr="00F46312" w:rsidRDefault="00A54037" w:rsidP="00415AFE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Opakowanie o pojemności 5 ml. </w:t>
            </w:r>
          </w:p>
        </w:tc>
        <w:tc>
          <w:tcPr>
            <w:tcW w:w="1225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>1 op. – 5 ml.</w:t>
            </w:r>
          </w:p>
        </w:tc>
        <w:tc>
          <w:tcPr>
            <w:tcW w:w="1185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46312">
              <w:rPr>
                <w:rFonts w:asciiTheme="majorHAnsi" w:hAnsiTheme="majorHAnsi" w:cstheme="majorHAnsi"/>
                <w:sz w:val="16"/>
                <w:szCs w:val="16"/>
              </w:rPr>
              <w:t xml:space="preserve">10 op. </w:t>
            </w:r>
          </w:p>
        </w:tc>
        <w:tc>
          <w:tcPr>
            <w:tcW w:w="1083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65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4037" w:rsidRPr="00F46312" w:rsidRDefault="00A54037" w:rsidP="00415A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B0F6E" w:rsidRPr="00F46312" w:rsidRDefault="000B0F6E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3E70EF" w:rsidRPr="003E70EF" w:rsidRDefault="003E70EF" w:rsidP="003E70EF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Składam ofertę na wykonanie przedmiotu zamówienia w zakresie określonym powyżej na kwotę:</w:t>
      </w:r>
    </w:p>
    <w:p w:rsidR="003E70EF" w:rsidRPr="003E70EF" w:rsidRDefault="003E70EF" w:rsidP="003E70EF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3E70EF" w:rsidRPr="003E70EF" w:rsidRDefault="003E70EF" w:rsidP="003E70EF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NETTO: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   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>……………………………… PLN słownie: …………………………………………………………………………..…………………..….………… PLN</w:t>
      </w:r>
    </w:p>
    <w:p w:rsidR="003E70EF" w:rsidRPr="003E70EF" w:rsidRDefault="003E70EF" w:rsidP="003E70EF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 xml:space="preserve">Oświadczam, że uważam się za związanego niniejszą ofertą na okres …………….. ( min. 30 dni ) licząc od daty wyznaczonej jako termin składania ofert.  </w:t>
      </w:r>
    </w:p>
    <w:p w:rsidR="003E70EF" w:rsidRPr="003E70EF" w:rsidRDefault="003E70EF" w:rsidP="003E70EF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Termin płatności: 30 dni licząc od daty dostarczenia Zamawiającemu prawidłowo wystawionej faktury.</w:t>
      </w:r>
    </w:p>
    <w:p w:rsidR="003E70EF" w:rsidRPr="003E70EF" w:rsidRDefault="003E70EF" w:rsidP="003E70EF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Termin realizacji /dostawy: zobowiązuję się do wykonywania dostaw sukcesywnych w terminie maksymalnie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do………..dni roboczych, 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na podstawie składa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>nych przez Zamawiają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 xml:space="preserve">cego zamówień ilościowo-asortymentowych, licząc bieg terminu od dnia otrzymania zamówienia Zamawiającego),  </w:t>
      </w:r>
    </w:p>
    <w:p w:rsidR="003E70EF" w:rsidRPr="003E70EF" w:rsidRDefault="003E70EF" w:rsidP="003E70EF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Oświadczam, że termin gwarancji/ przydatności na dostarczony asortyment wynosi …………. miesięcy liczony od dnia odbioru asortymentu przez Zamawiającego.</w:t>
      </w:r>
    </w:p>
    <w:p w:rsidR="003E70EF" w:rsidRPr="003E70EF" w:rsidRDefault="003E70EF" w:rsidP="003E70EF">
      <w:pPr>
        <w:rPr>
          <w:rFonts w:ascii="Calibri Light" w:hAnsi="Calibri Light" w:cs="Calibri Light"/>
          <w:sz w:val="16"/>
          <w:szCs w:val="16"/>
        </w:rPr>
      </w:pPr>
    </w:p>
    <w:p w:rsidR="003E70EF" w:rsidRPr="003E70EF" w:rsidRDefault="003E70EF" w:rsidP="003E70EF">
      <w:pPr>
        <w:ind w:left="8475" w:hanging="229"/>
        <w:jc w:val="center"/>
        <w:rPr>
          <w:rFonts w:cs="Calibri"/>
          <w:sz w:val="16"/>
          <w:szCs w:val="16"/>
        </w:rPr>
      </w:pPr>
    </w:p>
    <w:p w:rsidR="003E70EF" w:rsidRPr="003E70EF" w:rsidRDefault="003E70EF" w:rsidP="003E70EF">
      <w:pPr>
        <w:rPr>
          <w:rFonts w:ascii="Arial" w:hAnsi="Arial" w:cs="Arial"/>
          <w:b/>
          <w:sz w:val="16"/>
          <w:szCs w:val="16"/>
        </w:rPr>
      </w:pPr>
    </w:p>
    <w:p w:rsidR="003E70EF" w:rsidRPr="003E70EF" w:rsidRDefault="003E70EF" w:rsidP="003E70EF">
      <w:pPr>
        <w:tabs>
          <w:tab w:val="left" w:pos="5970"/>
        </w:tabs>
        <w:rPr>
          <w:rFonts w:ascii="Calibri Light" w:hAnsi="Calibri Light" w:cs="Calibri Light"/>
          <w:b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data...................................</w:t>
      </w:r>
    </w:p>
    <w:p w:rsidR="003E70EF" w:rsidRPr="00924FC1" w:rsidRDefault="003E70EF" w:rsidP="003E70EF">
      <w:pPr>
        <w:tabs>
          <w:tab w:val="left" w:pos="5970"/>
        </w:tabs>
        <w:rPr>
          <w:rFonts w:ascii="Calibri Light" w:hAnsi="Calibri Light" w:cs="Calibri Light"/>
          <w:b/>
          <w:sz w:val="20"/>
          <w:szCs w:val="20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 xml:space="preserve">   </w:t>
      </w:r>
      <w:bookmarkStart w:id="0" w:name="_GoBack"/>
      <w:bookmarkEnd w:id="0"/>
      <w:r w:rsidRPr="003E70EF"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ab/>
        <w:t xml:space="preserve"> …………………………………………..…………………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                                         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  <w:t xml:space="preserve">                                     czytelny podpis</w:t>
      </w:r>
      <w:r w:rsidRPr="00C10EBC">
        <w:rPr>
          <w:rFonts w:ascii="Calibri Light" w:hAnsi="Calibri Light" w:cs="Calibri Light"/>
          <w:b/>
          <w:iCs/>
          <w:sz w:val="20"/>
          <w:szCs w:val="20"/>
        </w:rPr>
        <w:t xml:space="preserve">                            </w:t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</w:r>
      <w:r w:rsidRPr="00924FC1">
        <w:rPr>
          <w:rFonts w:ascii="Calibri Light" w:hAnsi="Calibri Light" w:cs="Calibri Light"/>
          <w:b/>
          <w:iCs/>
          <w:sz w:val="20"/>
          <w:szCs w:val="20"/>
        </w:rPr>
        <w:tab/>
        <w:t xml:space="preserve"> </w:t>
      </w: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Pr="00F46312" w:rsidRDefault="00881A33" w:rsidP="000B0F6E">
      <w:pPr>
        <w:rPr>
          <w:rFonts w:asciiTheme="majorHAnsi" w:hAnsiTheme="majorHAnsi" w:cstheme="majorHAnsi"/>
          <w:sz w:val="18"/>
          <w:szCs w:val="18"/>
        </w:rPr>
      </w:pPr>
    </w:p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881A33" w:rsidRPr="00CF51FE" w:rsidRDefault="00881A33" w:rsidP="00881A33">
      <w:pPr>
        <w:rPr>
          <w:rFonts w:cstheme="minorHAnsi"/>
        </w:rPr>
      </w:pPr>
    </w:p>
    <w:p w:rsidR="000B0F6E" w:rsidRDefault="000B0F6E" w:rsidP="000B0F6E">
      <w:pPr>
        <w:rPr>
          <w:rFonts w:cstheme="minorHAnsi"/>
        </w:rPr>
      </w:pPr>
    </w:p>
    <w:sectPr w:rsidR="000B0F6E" w:rsidSect="007019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2B" w:rsidRDefault="00754E2B" w:rsidP="00A54037">
      <w:pPr>
        <w:spacing w:after="0" w:line="240" w:lineRule="auto"/>
      </w:pPr>
      <w:r>
        <w:separator/>
      </w:r>
    </w:p>
  </w:endnote>
  <w:endnote w:type="continuationSeparator" w:id="0">
    <w:p w:rsidR="00754E2B" w:rsidRDefault="00754E2B" w:rsidP="00A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2B" w:rsidRDefault="00754E2B" w:rsidP="00A54037">
      <w:pPr>
        <w:spacing w:after="0" w:line="240" w:lineRule="auto"/>
      </w:pPr>
      <w:r>
        <w:separator/>
      </w:r>
    </w:p>
  </w:footnote>
  <w:footnote w:type="continuationSeparator" w:id="0">
    <w:p w:rsidR="00754E2B" w:rsidRDefault="00754E2B" w:rsidP="00A5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7" w:rsidRDefault="00A54037" w:rsidP="00A54037">
    <w:pPr>
      <w:pStyle w:val="Nagwek"/>
      <w:jc w:val="right"/>
    </w:pPr>
    <w:r>
      <w:t>Załącznik nr 1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E"/>
    <w:rsid w:val="0004331E"/>
    <w:rsid w:val="00095E95"/>
    <w:rsid w:val="000B0F6E"/>
    <w:rsid w:val="000C6BEA"/>
    <w:rsid w:val="001748ED"/>
    <w:rsid w:val="003E70EF"/>
    <w:rsid w:val="00415AFE"/>
    <w:rsid w:val="00501D45"/>
    <w:rsid w:val="005F7FED"/>
    <w:rsid w:val="00707DC8"/>
    <w:rsid w:val="00754E2B"/>
    <w:rsid w:val="007B2883"/>
    <w:rsid w:val="00881A33"/>
    <w:rsid w:val="009F0B5C"/>
    <w:rsid w:val="00A54037"/>
    <w:rsid w:val="00A85687"/>
    <w:rsid w:val="00AE4569"/>
    <w:rsid w:val="00B81267"/>
    <w:rsid w:val="00DF5EB1"/>
    <w:rsid w:val="00F46312"/>
    <w:rsid w:val="00F75314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92CF-CF05-4FDB-B362-7E18EF0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037"/>
  </w:style>
  <w:style w:type="paragraph" w:styleId="Stopka">
    <w:name w:val="footer"/>
    <w:basedOn w:val="Normalny"/>
    <w:link w:val="StopkaZnak"/>
    <w:uiPriority w:val="99"/>
    <w:unhideWhenUsed/>
    <w:rsid w:val="00A5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Magdalena Filipek</cp:lastModifiedBy>
  <cp:revision>2</cp:revision>
  <dcterms:created xsi:type="dcterms:W3CDTF">2024-01-16T11:17:00Z</dcterms:created>
  <dcterms:modified xsi:type="dcterms:W3CDTF">2024-01-16T11:17:00Z</dcterms:modified>
</cp:coreProperties>
</file>