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E0D44" w14:textId="001ECA84" w:rsidR="00192BF4" w:rsidRPr="00192BF4" w:rsidRDefault="00192BF4" w:rsidP="00192BF4">
      <w:pPr>
        <w:jc w:val="right"/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</w:pPr>
      <w:r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>Zał. nr 3</w:t>
      </w:r>
      <w:bookmarkStart w:id="0" w:name="_GoBack"/>
      <w:bookmarkEnd w:id="0"/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  <w:t xml:space="preserve">Nr </w:t>
      </w:r>
      <w:proofErr w:type="spellStart"/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>spr</w:t>
      </w:r>
      <w:proofErr w:type="spellEnd"/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>. DA/AM-231-50/22</w:t>
      </w:r>
    </w:p>
    <w:p w14:paraId="7ACFADCF" w14:textId="77777777" w:rsidR="00192BF4" w:rsidRPr="00192BF4" w:rsidRDefault="00192BF4" w:rsidP="00192BF4">
      <w:pPr>
        <w:jc w:val="right"/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</w:pP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 xml:space="preserve">                                                              </w:t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</w:r>
      <w:r w:rsidRPr="00192BF4">
        <w:rPr>
          <w:rFonts w:ascii="Bookman Old Style" w:eastAsia="Times New Roman" w:hAnsi="Bookman Old Style" w:cs="Arial"/>
          <w:color w:val="auto"/>
          <w:sz w:val="18"/>
          <w:szCs w:val="18"/>
          <w:lang w:val="pl-PL"/>
        </w:rPr>
        <w:tab/>
        <w:t xml:space="preserve"> Gliwice dn. 17.08.2022r.</w:t>
      </w:r>
    </w:p>
    <w:p w14:paraId="7F9258E2" w14:textId="77777777" w:rsidR="0034006C" w:rsidRPr="00D305E7" w:rsidRDefault="0034006C">
      <w:pPr>
        <w:rPr>
          <w:rFonts w:ascii="Bookman Old Style" w:hAnsi="Bookman Old Style"/>
          <w:sz w:val="18"/>
          <w:szCs w:val="18"/>
        </w:rPr>
      </w:pPr>
    </w:p>
    <w:p w14:paraId="2C68DB8D" w14:textId="77777777" w:rsidR="00EB64C8" w:rsidRPr="00D305E7" w:rsidRDefault="00EB64C8" w:rsidP="00EB64C8">
      <w:pPr>
        <w:jc w:val="center"/>
        <w:rPr>
          <w:rFonts w:ascii="Bookman Old Style" w:hAnsi="Bookman Old Style" w:cs="Times New Roman"/>
          <w:sz w:val="18"/>
          <w:szCs w:val="18"/>
        </w:rPr>
      </w:pPr>
      <w:bookmarkStart w:id="1" w:name="bookmark0"/>
    </w:p>
    <w:p w14:paraId="4DBB7708" w14:textId="77777777" w:rsidR="00EB64C8" w:rsidRPr="00F40C36" w:rsidRDefault="00EB64C8" w:rsidP="00EB64C8">
      <w:pPr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F40C36">
        <w:rPr>
          <w:rFonts w:ascii="Bookman Old Style" w:hAnsi="Bookman Old Style" w:cs="Times New Roman"/>
          <w:b/>
          <w:sz w:val="18"/>
          <w:szCs w:val="18"/>
        </w:rPr>
        <w:t xml:space="preserve">P A R A M E T R Y   T E C H N I C Z N E  </w:t>
      </w:r>
    </w:p>
    <w:p w14:paraId="2BD23A56" w14:textId="77777777" w:rsidR="00EB64C8" w:rsidRPr="00D305E7" w:rsidRDefault="00EB64C8" w:rsidP="00EB64C8">
      <w:pPr>
        <w:jc w:val="center"/>
        <w:rPr>
          <w:rFonts w:ascii="Bookman Old Style" w:hAnsi="Bookman Old Style" w:cs="Times New Roman"/>
          <w:sz w:val="18"/>
          <w:szCs w:val="18"/>
        </w:rPr>
      </w:pPr>
      <w:r w:rsidRPr="00D305E7">
        <w:rPr>
          <w:rFonts w:ascii="Bookman Old Style" w:hAnsi="Bookman Old Style" w:cs="Times New Roman"/>
          <w:sz w:val="18"/>
          <w:szCs w:val="18"/>
        </w:rPr>
        <w:t xml:space="preserve"> </w:t>
      </w:r>
    </w:p>
    <w:p w14:paraId="4166C609" w14:textId="77777777" w:rsidR="00363F06" w:rsidRPr="00D305E7" w:rsidRDefault="00363F06" w:rsidP="00DD5BFB">
      <w:pPr>
        <w:jc w:val="center"/>
        <w:rPr>
          <w:rFonts w:ascii="Bookman Old Style" w:hAnsi="Bookman Old Style" w:cs="Times New Roman"/>
          <w:sz w:val="18"/>
          <w:szCs w:val="18"/>
        </w:rPr>
      </w:pPr>
    </w:p>
    <w:p w14:paraId="360191B2" w14:textId="77777777" w:rsidR="00116F53" w:rsidRPr="00F40C36" w:rsidRDefault="00116F53" w:rsidP="00DD5BFB">
      <w:pPr>
        <w:jc w:val="center"/>
        <w:rPr>
          <w:rFonts w:ascii="Bookman Old Style" w:hAnsi="Bookman Old Style" w:cs="Times New Roman"/>
          <w:b/>
          <w:sz w:val="18"/>
          <w:szCs w:val="18"/>
          <w:u w:val="single"/>
        </w:rPr>
      </w:pPr>
      <w:r w:rsidRPr="00F40C36">
        <w:rPr>
          <w:rFonts w:ascii="Bookman Old Style" w:hAnsi="Bookman Old Style" w:cs="Times New Roman"/>
          <w:b/>
          <w:sz w:val="18"/>
          <w:szCs w:val="18"/>
          <w:u w:val="single"/>
        </w:rPr>
        <w:t>ZADANIE NR 3</w:t>
      </w:r>
    </w:p>
    <w:p w14:paraId="1EC82395" w14:textId="753F2830" w:rsidR="003F422E" w:rsidRPr="00F40C36" w:rsidRDefault="00363F06" w:rsidP="00DD5BFB">
      <w:pPr>
        <w:jc w:val="center"/>
        <w:rPr>
          <w:rFonts w:ascii="Bookman Old Style" w:hAnsi="Bookman Old Style" w:cs="Times New Roman"/>
          <w:b/>
          <w:sz w:val="18"/>
          <w:szCs w:val="18"/>
          <w:u w:val="single"/>
        </w:rPr>
      </w:pPr>
      <w:r w:rsidRPr="00F40C36">
        <w:rPr>
          <w:rFonts w:ascii="Bookman Old Style" w:hAnsi="Bookman Old Style" w:cs="Times New Roman"/>
          <w:b/>
          <w:sz w:val="18"/>
          <w:szCs w:val="18"/>
          <w:u w:val="single"/>
        </w:rPr>
        <w:t>SEPARATOR KOMÓRKOWY</w:t>
      </w:r>
      <w:r w:rsidR="00CE36AD" w:rsidRPr="00F40C36">
        <w:rPr>
          <w:rFonts w:ascii="Bookman Old Style" w:hAnsi="Bookman Old Style" w:cs="Times New Roman"/>
          <w:b/>
          <w:sz w:val="18"/>
          <w:szCs w:val="18"/>
          <w:u w:val="single"/>
        </w:rPr>
        <w:t xml:space="preserve"> – 2 sztuki</w:t>
      </w:r>
    </w:p>
    <w:p w14:paraId="7F09DC93" w14:textId="77777777" w:rsidR="00CE36AD" w:rsidRPr="00D305E7" w:rsidRDefault="00CE36AD" w:rsidP="00DD5BFB">
      <w:pPr>
        <w:jc w:val="center"/>
        <w:rPr>
          <w:rFonts w:ascii="Bookman Old Style" w:eastAsia="Times New Roman" w:hAnsi="Bookman Old Style" w:cs="Times New Roman"/>
          <w:color w:val="auto"/>
          <w:sz w:val="18"/>
          <w:szCs w:val="18"/>
          <w:lang w:val="pl-PL"/>
        </w:rPr>
      </w:pP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4900"/>
        <w:gridCol w:w="1559"/>
        <w:gridCol w:w="4059"/>
      </w:tblGrid>
      <w:tr w:rsidR="00F52A7F" w:rsidRPr="00D305E7" w14:paraId="3016698F" w14:textId="77777777" w:rsidTr="00F40C36">
        <w:trPr>
          <w:trHeight w:val="88"/>
          <w:jc w:val="center"/>
        </w:trPr>
        <w:tc>
          <w:tcPr>
            <w:tcW w:w="907" w:type="dxa"/>
            <w:vAlign w:val="center"/>
          </w:tcPr>
          <w:p w14:paraId="385FDE40" w14:textId="77777777" w:rsidR="00F52A7F" w:rsidRPr="00D305E7" w:rsidRDefault="00F52A7F" w:rsidP="00F52A7F">
            <w:p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Lp.</w:t>
            </w:r>
          </w:p>
        </w:tc>
        <w:tc>
          <w:tcPr>
            <w:tcW w:w="4900" w:type="dxa"/>
            <w:vAlign w:val="center"/>
          </w:tcPr>
          <w:p w14:paraId="50DE17FD" w14:textId="77777777" w:rsidR="00F52A7F" w:rsidRPr="00D305E7" w:rsidRDefault="00F52A7F" w:rsidP="00F52A7F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Parametr wymagany</w:t>
            </w:r>
          </w:p>
        </w:tc>
        <w:tc>
          <w:tcPr>
            <w:tcW w:w="1559" w:type="dxa"/>
            <w:vAlign w:val="center"/>
          </w:tcPr>
          <w:p w14:paraId="734B1D79" w14:textId="77777777" w:rsidR="00F52A7F" w:rsidRPr="00D305E7" w:rsidRDefault="00F52A7F" w:rsidP="00F52A7F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Wymagania</w:t>
            </w:r>
          </w:p>
        </w:tc>
        <w:tc>
          <w:tcPr>
            <w:tcW w:w="4059" w:type="dxa"/>
          </w:tcPr>
          <w:p w14:paraId="23B69F9F" w14:textId="77777777" w:rsidR="00F52A7F" w:rsidRPr="00D305E7" w:rsidRDefault="00F52A7F" w:rsidP="00F52A7F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Parametr oferowany</w:t>
            </w:r>
          </w:p>
        </w:tc>
      </w:tr>
      <w:tr w:rsidR="00EB64C8" w:rsidRPr="00D305E7" w14:paraId="4B251DBD" w14:textId="77777777" w:rsidTr="00EB64C8">
        <w:trPr>
          <w:trHeight w:val="88"/>
          <w:jc w:val="center"/>
        </w:trPr>
        <w:tc>
          <w:tcPr>
            <w:tcW w:w="11425" w:type="dxa"/>
            <w:gridSpan w:val="4"/>
            <w:shd w:val="clear" w:color="auto" w:fill="F2F2F2" w:themeFill="background1" w:themeFillShade="F2"/>
            <w:vAlign w:val="center"/>
          </w:tcPr>
          <w:p w14:paraId="66DC61C6" w14:textId="77777777" w:rsidR="00EB64C8" w:rsidRPr="00D305E7" w:rsidRDefault="00EB64C8" w:rsidP="00254351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</w:p>
          <w:p w14:paraId="2F9FC611" w14:textId="77777777" w:rsidR="00EB64C8" w:rsidRPr="00D305E7" w:rsidRDefault="00EB64C8" w:rsidP="00254351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PARAMETRY OGÓLNE</w:t>
            </w:r>
          </w:p>
          <w:p w14:paraId="1F7E4B8D" w14:textId="77777777" w:rsidR="00EB64C8" w:rsidRPr="00D305E7" w:rsidRDefault="00EB64C8" w:rsidP="00254351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557AB2E" w14:textId="77777777" w:rsidTr="00F40C36">
        <w:trPr>
          <w:trHeight w:val="88"/>
          <w:jc w:val="center"/>
        </w:trPr>
        <w:tc>
          <w:tcPr>
            <w:tcW w:w="907" w:type="dxa"/>
            <w:vAlign w:val="center"/>
          </w:tcPr>
          <w:p w14:paraId="69F2BA5E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vAlign w:val="center"/>
          </w:tcPr>
          <w:p w14:paraId="1FE498C5" w14:textId="77777777" w:rsidR="00D305E7" w:rsidRPr="00D305E7" w:rsidRDefault="00D305E7" w:rsidP="00D305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Producent / Kraj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FC57145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TAK, podać</w:t>
            </w:r>
          </w:p>
        </w:tc>
        <w:tc>
          <w:tcPr>
            <w:tcW w:w="4059" w:type="dxa"/>
          </w:tcPr>
          <w:p w14:paraId="7497244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940B2DB" w14:textId="77777777" w:rsidTr="00F40C36">
        <w:trPr>
          <w:trHeight w:val="88"/>
          <w:jc w:val="center"/>
        </w:trPr>
        <w:tc>
          <w:tcPr>
            <w:tcW w:w="907" w:type="dxa"/>
            <w:vAlign w:val="center"/>
          </w:tcPr>
          <w:p w14:paraId="6F4EF96C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vAlign w:val="center"/>
          </w:tcPr>
          <w:p w14:paraId="43C38BC9" w14:textId="77777777" w:rsidR="00D305E7" w:rsidRPr="00D305E7" w:rsidRDefault="00D305E7" w:rsidP="00D305E7">
            <w:pPr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x-none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Model / typ / nr katalogowy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D6790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TAK, podać</w:t>
            </w:r>
          </w:p>
        </w:tc>
        <w:tc>
          <w:tcPr>
            <w:tcW w:w="4059" w:type="dxa"/>
          </w:tcPr>
          <w:p w14:paraId="21EF028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0EC8FEFD" w14:textId="77777777" w:rsidTr="00F40C36">
        <w:trPr>
          <w:trHeight w:val="88"/>
          <w:jc w:val="center"/>
        </w:trPr>
        <w:tc>
          <w:tcPr>
            <w:tcW w:w="907" w:type="dxa"/>
            <w:vAlign w:val="center"/>
          </w:tcPr>
          <w:p w14:paraId="721A7623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vAlign w:val="center"/>
          </w:tcPr>
          <w:p w14:paraId="7C332335" w14:textId="77777777" w:rsidR="00D305E7" w:rsidRPr="00D305E7" w:rsidRDefault="00D305E7" w:rsidP="00D305E7">
            <w:pPr>
              <w:spacing w:before="40" w:after="40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Urządzenie fabrycznie nowe (rok produkcji nie wcześniej niż 2022), kompletne i gotowe do użycia – bez dodatkowych nakładów finansowych ze strony Zamawiającego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0DAAA41" w14:textId="77777777" w:rsidR="00D305E7" w:rsidRPr="00D305E7" w:rsidRDefault="00D305E7" w:rsidP="00D305E7">
            <w:pPr>
              <w:spacing w:before="40" w:after="40"/>
              <w:jc w:val="center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Arial"/>
                <w:sz w:val="18"/>
                <w:szCs w:val="18"/>
              </w:rPr>
              <w:t>TAK</w:t>
            </w:r>
          </w:p>
        </w:tc>
        <w:tc>
          <w:tcPr>
            <w:tcW w:w="4059" w:type="dxa"/>
          </w:tcPr>
          <w:p w14:paraId="6FC25F25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911124" w:rsidRPr="00D305E7" w14:paraId="7DE05AAA" w14:textId="77777777" w:rsidTr="000A61DF">
        <w:trPr>
          <w:trHeight w:val="88"/>
          <w:jc w:val="center"/>
        </w:trPr>
        <w:tc>
          <w:tcPr>
            <w:tcW w:w="907" w:type="dxa"/>
            <w:vAlign w:val="center"/>
          </w:tcPr>
          <w:p w14:paraId="00593568" w14:textId="77777777" w:rsidR="00911124" w:rsidRPr="00D305E7" w:rsidRDefault="00911124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vAlign w:val="center"/>
          </w:tcPr>
          <w:p w14:paraId="79627A38" w14:textId="00E5DF75" w:rsidR="00911124" w:rsidRPr="00D305E7" w:rsidRDefault="00911124" w:rsidP="00D305E7">
            <w:pPr>
              <w:spacing w:before="40" w:after="40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 w:rsidRPr="00911124">
              <w:rPr>
                <w:rFonts w:ascii="Bookman Old Style" w:eastAsia="Times New Roman" w:hAnsi="Bookman Old Style" w:cs="Arial"/>
                <w:sz w:val="18"/>
                <w:szCs w:val="18"/>
              </w:rPr>
              <w:t>Certyfikat CE lub deklaracja zgodności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1F7B353" w14:textId="0DBA304C" w:rsidR="00911124" w:rsidRPr="00D305E7" w:rsidRDefault="00911124" w:rsidP="00D305E7">
            <w:pPr>
              <w:spacing w:before="40" w:after="40"/>
              <w:jc w:val="center"/>
              <w:rPr>
                <w:rFonts w:ascii="Bookman Old Style" w:eastAsia="Times New Roman" w:hAnsi="Bookman Old Style" w:cs="Arial"/>
                <w:sz w:val="18"/>
                <w:szCs w:val="18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</w:rPr>
              <w:t>TAK</w:t>
            </w:r>
          </w:p>
        </w:tc>
        <w:tc>
          <w:tcPr>
            <w:tcW w:w="4059" w:type="dxa"/>
          </w:tcPr>
          <w:p w14:paraId="26A75E7B" w14:textId="77777777" w:rsidR="00911124" w:rsidRPr="00D305E7" w:rsidRDefault="00911124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53C672B1" w14:textId="77777777" w:rsidTr="00EB64C8">
        <w:trPr>
          <w:trHeight w:val="88"/>
          <w:jc w:val="center"/>
        </w:trPr>
        <w:tc>
          <w:tcPr>
            <w:tcW w:w="11425" w:type="dxa"/>
            <w:gridSpan w:val="4"/>
            <w:shd w:val="clear" w:color="auto" w:fill="F2F2F2" w:themeFill="background1" w:themeFillShade="F2"/>
            <w:vAlign w:val="center"/>
          </w:tcPr>
          <w:p w14:paraId="4FEADCCB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  <w:p w14:paraId="00252A06" w14:textId="77777777" w:rsidR="00D305E7" w:rsidRPr="00D305E7" w:rsidRDefault="00D305E7" w:rsidP="00D305E7">
            <w:pPr>
              <w:shd w:val="clear" w:color="auto" w:fill="F2F2F2" w:themeFill="background1" w:themeFillShade="F2"/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PARAMETRY PODSTAWOWE</w:t>
            </w:r>
          </w:p>
          <w:p w14:paraId="2CC9C63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049AA1B" w14:textId="77777777" w:rsidTr="00F40C36">
        <w:trPr>
          <w:trHeight w:val="322"/>
          <w:jc w:val="center"/>
        </w:trPr>
        <w:tc>
          <w:tcPr>
            <w:tcW w:w="907" w:type="dxa"/>
            <w:vAlign w:val="center"/>
          </w:tcPr>
          <w:p w14:paraId="7F2ACD6F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</w:tcPr>
          <w:p w14:paraId="28181310" w14:textId="77777777" w:rsidR="00D305E7" w:rsidRPr="00D305E7" w:rsidRDefault="00D305E7" w:rsidP="00D305E7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  <w:lang w:val="pl-PL"/>
              </w:rPr>
              <w:t>Separator wirówkowy pracujący w trybie ciągłego przepływu krwi (równoległy napływ, separacja i zwrot krwi)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EA00A7B" w14:textId="77777777" w:rsidR="00D305E7" w:rsidRPr="00D305E7" w:rsidRDefault="00D305E7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1CBED6F8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E7F7EB0" w14:textId="77777777" w:rsidTr="00F40C36">
        <w:trPr>
          <w:trHeight w:val="322"/>
          <w:jc w:val="center"/>
        </w:trPr>
        <w:tc>
          <w:tcPr>
            <w:tcW w:w="907" w:type="dxa"/>
            <w:vAlign w:val="center"/>
          </w:tcPr>
          <w:p w14:paraId="050FA8A0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vAlign w:val="center"/>
          </w:tcPr>
          <w:p w14:paraId="44C4BB4C" w14:textId="77777777" w:rsidR="00D305E7" w:rsidRPr="00D305E7" w:rsidRDefault="00D305E7" w:rsidP="00D305E7">
            <w:pPr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Urządzenie umożliwiające przeprowadzenie:</w:t>
            </w:r>
          </w:p>
          <w:p w14:paraId="4A521CCA" w14:textId="77777777" w:rsidR="00D305E7" w:rsidRPr="00D305E7" w:rsidRDefault="00D305E7" w:rsidP="00D305E7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 xml:space="preserve">procedur terapeutycznych: </w:t>
            </w:r>
          </w:p>
          <w:p w14:paraId="4B27447A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terapeutyczna wymiana osocza (plazmafereza),</w:t>
            </w:r>
          </w:p>
          <w:p w14:paraId="3C7AE705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terapeutyczna wymiana osocza z możliwością dostępu jednoigłowego (plazmafereza jednoigłowa)</w:t>
            </w:r>
          </w:p>
          <w:p w14:paraId="51FD7778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terapeutyczna wymiana osocza z możliwością podłączenia drugorzędowych urządzeń do przetwarzania osocza</w:t>
            </w:r>
          </w:p>
          <w:p w14:paraId="03DD0978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terapeutyczna wymiana czerwonych krwinek (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erytroafereza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)</w:t>
            </w:r>
          </w:p>
          <w:p w14:paraId="51C0F006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usuwanie płytek krwi (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trombafereza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)</w:t>
            </w:r>
          </w:p>
          <w:p w14:paraId="71C4EF31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usuwanie krwinek białych (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leukafereza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)</w:t>
            </w:r>
          </w:p>
          <w:p w14:paraId="2B1922EA" w14:textId="77777777" w:rsidR="00D305E7" w:rsidRPr="00D305E7" w:rsidRDefault="00D305E7" w:rsidP="00D305E7">
            <w:pPr>
              <w:pStyle w:val="Akapitzlist"/>
              <w:numPr>
                <w:ilvl w:val="0"/>
                <w:numId w:val="4"/>
              </w:numPr>
              <w:ind w:left="360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 xml:space="preserve">procedur preparatywnych: </w:t>
            </w:r>
          </w:p>
          <w:p w14:paraId="7E5D2513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poboru komórek jednojądrzastych krwi obwodowej </w:t>
            </w:r>
          </w:p>
          <w:p w14:paraId="56644156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koncentratu 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granulocytarnego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5F2B6EC3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koncentratu krwinek płytkowych (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trombafereza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 jednoigłowa)</w:t>
            </w:r>
          </w:p>
          <w:p w14:paraId="2045059C" w14:textId="77777777" w:rsidR="00D305E7" w:rsidRPr="00D305E7" w:rsidRDefault="00D305E7" w:rsidP="00D305E7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dodatkowych: oczyszczania komórek </w:t>
            </w:r>
            <w:proofErr w:type="spellStart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>progenitorowych</w:t>
            </w:r>
            <w:proofErr w:type="spellEnd"/>
            <w:r w:rsidRPr="00D305E7"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  <w:t xml:space="preserve"> szpiku kostnego w procedurze czyszczenia szpiku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F4F230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59FBDDF9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6AE85E8" w14:textId="77777777" w:rsidTr="00F40C36">
        <w:trPr>
          <w:trHeight w:val="322"/>
          <w:jc w:val="center"/>
        </w:trPr>
        <w:tc>
          <w:tcPr>
            <w:tcW w:w="907" w:type="dxa"/>
            <w:vAlign w:val="center"/>
          </w:tcPr>
          <w:p w14:paraId="6C2BE89F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</w:tcPr>
          <w:p w14:paraId="6B880EED" w14:textId="77777777" w:rsidR="00D305E7" w:rsidRPr="00D305E7" w:rsidRDefault="00D305E7" w:rsidP="00D305E7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18"/>
                <w:szCs w:val="18"/>
                <w:lang w:eastAsia="en-US"/>
              </w:rPr>
            </w:pPr>
            <w:r w:rsidRPr="00D305E7">
              <w:rPr>
                <w:rFonts w:ascii="Bookman Old Style" w:hAnsi="Bookman Old Style" w:cs="Times New Roman"/>
                <w:bCs/>
                <w:sz w:val="18"/>
                <w:szCs w:val="18"/>
              </w:rPr>
              <w:t>Aparat jezdny łatwy do transportu o wadze nieprzekraczającej 100kg,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  <w:lang w:eastAsia="en-US"/>
              </w:rPr>
              <w:t xml:space="preserve"> na podstawie jezdnej (zawieszenie wyposażone w ruchome obrotowe koła w zakresie 360 stopni),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B17AFA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7CC7C3C6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F1EDEE4" w14:textId="77777777" w:rsidTr="00F40C36">
        <w:trPr>
          <w:trHeight w:val="166"/>
          <w:jc w:val="center"/>
        </w:trPr>
        <w:tc>
          <w:tcPr>
            <w:tcW w:w="907" w:type="dxa"/>
            <w:vAlign w:val="center"/>
          </w:tcPr>
          <w:p w14:paraId="4053DC3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</w:tcPr>
          <w:p w14:paraId="6C34EA85" w14:textId="77777777" w:rsidR="00D305E7" w:rsidRPr="00D305E7" w:rsidRDefault="00D305E7" w:rsidP="00D305E7">
            <w:pPr>
              <w:pStyle w:val="Nagwek1"/>
              <w:numPr>
                <w:ilvl w:val="0"/>
                <w:numId w:val="5"/>
              </w:numPr>
              <w:snapToGrid w:val="0"/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305E7"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  <w:t xml:space="preserve">Poziom hałasu podczas użytkowania ≤ 70 </w:t>
            </w:r>
            <w:proofErr w:type="spellStart"/>
            <w:r w:rsidRPr="00D305E7"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  <w:t>dBa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15F2C4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760F2C2E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063D709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1E59A62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7048BB8D" w14:textId="77777777" w:rsidR="00D305E7" w:rsidRPr="00D305E7" w:rsidRDefault="00D305E7" w:rsidP="00D305E7">
            <w:pPr>
              <w:pStyle w:val="Nagwek1"/>
              <w:numPr>
                <w:ilvl w:val="0"/>
                <w:numId w:val="5"/>
              </w:numPr>
              <w:snapToGrid w:val="0"/>
              <w:ind w:left="34" w:hanging="34"/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305E7"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  <w:t xml:space="preserve">Zestaw drenów zbudowany w oparciu o zintegrowaną kasetę zawierającą wszystkie elementy mocowane na pompach, zaworach i czujnikach minimalizującą </w:t>
            </w:r>
            <w:r w:rsidRPr="00D305E7"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  <w:lastRenderedPageBreak/>
              <w:t>możliwość błędnego założenia zestawu na urządzeniu.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14FFAB2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4059" w:type="dxa"/>
          </w:tcPr>
          <w:p w14:paraId="64515CD9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96605CD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313D44D2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685E9E2" w14:textId="77777777" w:rsidR="00D305E7" w:rsidRPr="00D305E7" w:rsidRDefault="00D305E7" w:rsidP="00D305E7">
            <w:pPr>
              <w:pStyle w:val="Nagwek1"/>
              <w:numPr>
                <w:ilvl w:val="0"/>
                <w:numId w:val="5"/>
              </w:numPr>
              <w:snapToGrid w:val="0"/>
              <w:ind w:left="34" w:firstLine="0"/>
              <w:rPr>
                <w:rFonts w:ascii="Bookman Old Style" w:hAnsi="Bookman Old Style"/>
                <w:b w:val="0"/>
                <w:sz w:val="18"/>
                <w:szCs w:val="18"/>
                <w:lang w:val="pl-PL"/>
              </w:rPr>
            </w:pPr>
            <w:r w:rsidRPr="00D305E7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pl-PL"/>
              </w:rPr>
              <w:t>Pełna automatyzacja wykonywanych procedur: intuicyjna komunikacja pomiędzy operatorem a urządzeniem poprzez kolorowy ekran dotykowy, separator zawierający graficzną prezentację poszczególnych etapów wybranej procedury, posiadający menu w języku polskim, pomagający we wprowadzaniu niezbędnych informacji dotyczących pacjenta i procedury, zapewniający prawidłowe informacje we właściwym czasie w celu zwiększenia wydajności procedury, podający jasne komunikaty ostrzegawcze, które są łatwo zauważalne, wskazujący podpowiedzi możliwych przyczyn i rozwiązania ostrzeżeń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A6A426B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4982C901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D2B0D78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19F96C8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0C555D5" w14:textId="77777777" w:rsidR="00D305E7" w:rsidRPr="00D305E7" w:rsidRDefault="00D305E7" w:rsidP="00D305E7">
            <w:pPr>
              <w:pStyle w:val="Nagwek1"/>
              <w:numPr>
                <w:ilvl w:val="0"/>
                <w:numId w:val="5"/>
              </w:numPr>
              <w:snapToGrid w:val="0"/>
              <w:ind w:left="34" w:firstLine="0"/>
              <w:rPr>
                <w:rFonts w:ascii="Bookman Old Style" w:hAnsi="Bookman Old Style"/>
                <w:b w:val="0"/>
                <w:bCs w:val="0"/>
                <w:sz w:val="18"/>
                <w:szCs w:val="18"/>
                <w:lang w:val="pl-PL"/>
              </w:rPr>
            </w:pPr>
            <w:r w:rsidRPr="00D305E7">
              <w:rPr>
                <w:rFonts w:ascii="Bookman Old Style" w:hAnsi="Bookman Old Style"/>
                <w:b w:val="0"/>
                <w:bCs w:val="0"/>
                <w:sz w:val="18"/>
                <w:szCs w:val="18"/>
                <w:lang w:val="pl-PL"/>
              </w:rPr>
              <w:t>Automatyczny optyczny system kontroli separacji wyposażony w system analizy obrazu o wysokiej rozdzielczości, monitorujący , interpretujący i automatycznie regulujący stanem separacji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D7A773C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5E3D351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09E5749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7B0AB6F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FAD7819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Opcja automatycznego wypełnienia zestawu innym niż NaCl płynem zastępczym (w zależności od indywidualnych potrzeb pacjenta)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E52873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E4DCE04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1F1E1CF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42B7093E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02EA6C70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Automatyczne dostosowanie parametrów procedury podczas wypełnienia i zastosowaniu koncentratu krwinek czerwonych (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KKCz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) o hematokrycie różnym od hematokrytu pacjenta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64EC127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4654E56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0E236D9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777094EB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50DE997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Automatycznie sterowane dozowaniem antykoagulantu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1C7272F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00373468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5935EE23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615EFE1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446D017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System zabezpieczający przed nadmierną grawitacyjną podażą antykoagulantu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BA9AF02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37ABE9D2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7F4C9DD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4FD8E2F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0E444FE8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System dwustopniowej separacji polegający na zastosowaniu dodatkowej komory 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kolekcyjnej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– system zapewniający wysoką efektywność poboru i dużą czystość produktu komórek macierzystych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DBA3EE9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1D0C635D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EE4E4AF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3950C7CE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6B0DFD61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System wizjera umożliwiający bezpośredni podgląd zestawu- zarówno pierwszego i drugiego stopnia separacji podczas trwania procedury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BE6063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2C846A0B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A1475C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E2612B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75A91480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Maksymalny przepływ wejściowy ≥ 120 ml/min dla procedury poboru komórek macierzystych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28475C6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5EA70FC2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A1C1701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DF7D14E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772547AB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Minimalny przepływ wejściowy ≤ 10 ml/ min dla procedury poboru komórek macierzystych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C3B5D02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3C6C198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D22D6CF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42AB355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D2B0CDF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Maksymalny przepływ wejściowy ≥ 140 ml/min dla procedury TPE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799A9EB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1D186D39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39940D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4C979864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6EBE2252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Sprawność wykonania procedury wymiany osocza nie mniejsza niż 85%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F379682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6295B04C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62B2D3D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4959E4F4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8B144DA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Możliwość podłączenia filtra/ kolumny lub ogrzewacza krwi do linii płynu zastępczego,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AB1B5C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36459328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6D624AC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6173507B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FE357ED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Czujnik ciśnienia umożliwiający podłączenie do urządzenia filtra/ kolumny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FB0DF62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6F76ACF5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5B6C6C97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049A317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4028392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Pamięć wewnętrzna separatora umożliwiająca dostęp do, co najmniej 100 ostatnich protokołów przeprowadzonych procedur.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F7E4630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0A578A9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683F3D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698EBD5C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240370D4" w14:textId="626B2732" w:rsidR="00D305E7" w:rsidRPr="00D305E7" w:rsidRDefault="000A61DF" w:rsidP="000A61DF">
            <w:pPr>
              <w:snapToGrid w:val="0"/>
              <w:rPr>
                <w:rFonts w:ascii="Bookman Old Style" w:hAnsi="Bookman Old Style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P</w:t>
            </w:r>
            <w:r w:rsidR="00D305E7" w:rsidRPr="00D305E7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odłączeni</w:t>
            </w:r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e</w:t>
            </w:r>
            <w:r w:rsidR="00D305E7" w:rsidRPr="00D305E7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urządzenia do posiadanego</w:t>
            </w:r>
            <w:r w:rsidR="00D305E7" w:rsidRPr="00D305E7">
              <w:rPr>
                <w:rFonts w:ascii="Bookman Old Style" w:hAnsi="Bookman Old Style" w:cs="Times New Roman"/>
                <w:color w:val="auto"/>
                <w:sz w:val="18"/>
                <w:szCs w:val="18"/>
              </w:rPr>
              <w:t xml:space="preserve"> komputera w celu transmisji danych z urządzenia do komputera, umożliwiająca przechowywanie raportów z procedur w formie elektronicznej.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0C38E7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6EFBF1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DEE574E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6D003726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C50A178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Worek na próbkę krwi przy linii wejściowej, umożliwiający odseparowanie pierwszej porcji krwi zawierającej potencjalne zanieczyszczenie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4F4B63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090C0A28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75A0B2BD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B981CB6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05922FA3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Dwa zbiorniki na próbki pobranego produktu, umożliwiające pobranie próbek do analiz w trakcie lub na koniec procedury w systemie zamkniętym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43A388F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5898B691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7C714220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30F5E33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641B6842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Dodatkowy zacisk zintegrowany z zestawem na linii pojemnika produktu do zabezpieczenia preparatu przed 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rozjałowieniem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podczas zgrzewania.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A7BA8A9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45021876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0A31000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002CEF9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26CAD7FD" w14:textId="77777777" w:rsidR="00D305E7" w:rsidRPr="00D305E7" w:rsidRDefault="00D305E7" w:rsidP="00D305E7">
            <w:pPr>
              <w:pStyle w:val="Tekstkomentarza1"/>
              <w:snapToGrid w:val="0"/>
              <w:rPr>
                <w:rFonts w:ascii="Bookman Old Style" w:hAnsi="Bookman Old Style"/>
                <w:sz w:val="18"/>
                <w:szCs w:val="18"/>
              </w:rPr>
            </w:pPr>
            <w:r w:rsidRPr="00D305E7">
              <w:rPr>
                <w:rFonts w:ascii="Bookman Old Style" w:hAnsi="Bookman Old Style"/>
                <w:sz w:val="18"/>
                <w:szCs w:val="18"/>
              </w:rPr>
              <w:t>Detektor obecności antykoagulantu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ECCBADC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1F295B5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7272524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AA98439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4426FB3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Detektor obecności płynu zastępczego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3C3FC91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40BD3F03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A5DC392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73C8A1C1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72F2547C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Wbudowana zgrzewarka do drenów, w pełni zintegrowana 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br/>
              <w:t>z separatorem komórkowym tzn. zasilana bezpośrednio z urządzenia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9FFE20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5E4ECC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5994A92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A24BA57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5E0D7093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Maksymalna objętość pozaustrojowa mniejsza niż 200 ml w przypadku procedury pobierania komórek macierzystych </w:t>
            </w:r>
          </w:p>
          <w:p w14:paraId="44A4907E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Maksymalna objętość pozaustrojowa mniejsza niż 190 ml w przypadku procedury terapeutycznej wymiany osocza lub 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erytroaferezy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</w:p>
          <w:p w14:paraId="78480A7C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Maksymalna objętość pozaustrojowa mniejsza niż 300 ml w przypadku usuwania leukocytów, płytek krwi lub poboru komórek jednojądrowych.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EC739A5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3BFB5FDC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FC51655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4CEA019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15E0CFDA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Typowa objętość pozaustrojowa mniejsza niż 150 ml w przypadku procedury pobierania komórek macierzystych oraz w przypadku procedur terapeutycznej wymiany osocza oraz 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erytroaferezy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; mniejsza niż 255 ml w przypadku procedur usuwania leukocytów i płytek krwi lub poboru komórek jednojądrowych.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C929FD5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500A8CB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1E321E4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6F68A2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3B1EDAC0" w14:textId="2C8C09EC" w:rsidR="00D305E7" w:rsidRPr="00D305E7" w:rsidRDefault="00D305E7" w:rsidP="000A61DF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Możliwość regulacji ostatecznego bilansu płynów ustrojowych pacjenta/ dawcy. </w:t>
            </w:r>
            <w:r w:rsidR="000A61DF">
              <w:rPr>
                <w:rFonts w:ascii="Bookman Old Style" w:hAnsi="Bookman Old Style" w:cs="Times New Roman"/>
                <w:sz w:val="18"/>
                <w:szCs w:val="18"/>
              </w:rPr>
              <w:t>Min.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25% w przypadku procedury TPE.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9BAD6C3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FCDB69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FEC423A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197E9B0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4BECF82D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Możliwość wprowadzenia zmian parametrów procedury przez użytkownika na każdym etapie procedury.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CF9BE1F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3FF9B0D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5FD1CC47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15B57254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6CEFD063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Zanieczyszczenie produktu erytrocytami Hct≤2%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71A57EE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58AC29F0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2943CB3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E96B5CF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46C97CE6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Średnie straty płytek w procedurze wymiany osocza nie większe niż 2,5%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AC94DF6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</w:t>
            </w:r>
          </w:p>
        </w:tc>
        <w:tc>
          <w:tcPr>
            <w:tcW w:w="4059" w:type="dxa"/>
          </w:tcPr>
          <w:p w14:paraId="57C09801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929DB88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BE96CC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24FFE325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Możliwość podania bolusa, realizowana przez urządzenie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7B9C0C9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7C25974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74F23F45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65D7CEBD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23231CCD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Kontrola bilansu płynów w czasie rzeczywistym, opcja kontroli infuzji antykoagulantu do pacjenta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14ACC8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553532F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5DA30A5E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C7223B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11D101D1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Opcja płukania zestawu przed rozpoczęciem procedury, jeśli pacjent wykazuje wrażliwość na substancję sterylizującą jednorazowy zestaw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A3F7CB4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109FCDB3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D7F20DE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52D196C8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4D92604E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Komory kroplowe antykoagulantu i soli na stałe połączone z zestawem uniemożliwiające </w:t>
            </w:r>
            <w:proofErr w:type="spellStart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rozjałowienie</w:t>
            </w:r>
            <w:proofErr w:type="spellEnd"/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zestawu.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03856E86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30EDCA85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1E6ABFDA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11CA23E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4288E3D7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Możliwość regulacji natężenia dźwięku alarmu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99753E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52338B10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F3F2F5B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04EDC46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6C65273E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Automatyczny test własny urządzenia i zestawu (przed rozpoczęciem procedury) zwiększający bezpieczeństwo pacjenta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F9F701B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229CAA54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347A352A" w14:textId="77777777" w:rsidTr="00EB64C8">
        <w:trPr>
          <w:trHeight w:val="60"/>
          <w:jc w:val="center"/>
        </w:trPr>
        <w:tc>
          <w:tcPr>
            <w:tcW w:w="11425" w:type="dxa"/>
            <w:gridSpan w:val="4"/>
            <w:shd w:val="clear" w:color="auto" w:fill="F2F2F2" w:themeFill="background1" w:themeFillShade="F2"/>
            <w:vAlign w:val="center"/>
          </w:tcPr>
          <w:p w14:paraId="6608A3E7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  <w:p w14:paraId="7484B9D8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INNE WYMAGANIA</w:t>
            </w:r>
          </w:p>
          <w:p w14:paraId="22DA8703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39CDFC1" w14:textId="77777777" w:rsidTr="00317324">
        <w:trPr>
          <w:trHeight w:val="60"/>
          <w:jc w:val="center"/>
        </w:trPr>
        <w:tc>
          <w:tcPr>
            <w:tcW w:w="907" w:type="dxa"/>
            <w:vAlign w:val="center"/>
          </w:tcPr>
          <w:p w14:paraId="4F565324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3DC05F79" w14:textId="13657BFA" w:rsidR="00D305E7" w:rsidRPr="00D305E7" w:rsidRDefault="00D305E7" w:rsidP="00317324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Szkolenie przeprowadzone przez wykwalifikowanego </w:t>
            </w:r>
            <w:r w:rsidR="00317324">
              <w:rPr>
                <w:rFonts w:ascii="Bookman Old Style" w:hAnsi="Bookman Old Style" w:cs="Times New Roman"/>
                <w:sz w:val="18"/>
                <w:szCs w:val="18"/>
              </w:rPr>
              <w:t xml:space="preserve">serwisanta/aplikanta 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z podstaw uży</w:t>
            </w:r>
            <w:r w:rsidR="00317324">
              <w:rPr>
                <w:rFonts w:ascii="Bookman Old Style" w:hAnsi="Bookman Old Style" w:cs="Times New Roman"/>
                <w:sz w:val="18"/>
                <w:szCs w:val="18"/>
              </w:rPr>
              <w:t>t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kowania i poszczególnych protokołów systemu dedykowane dla 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lastRenderedPageBreak/>
              <w:t>6 osób personelu (maksymalna liczba) – min. 20 godzin szkolenia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81B852B" w14:textId="77777777" w:rsidR="00D305E7" w:rsidRPr="00D305E7" w:rsidRDefault="00D305E7" w:rsidP="00D305E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lastRenderedPageBreak/>
              <w:t>TAK</w:t>
            </w:r>
          </w:p>
        </w:tc>
        <w:tc>
          <w:tcPr>
            <w:tcW w:w="4059" w:type="dxa"/>
          </w:tcPr>
          <w:p w14:paraId="72D07EC9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0A61DF" w:rsidRPr="00D305E7" w14:paraId="385854FF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7440B6F7" w14:textId="77777777" w:rsidR="000A61DF" w:rsidRPr="00D305E7" w:rsidRDefault="000A61DF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71B82959" w14:textId="77777777" w:rsidR="000A61DF" w:rsidRPr="00D305E7" w:rsidRDefault="000A61DF" w:rsidP="000A61DF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0A61DF">
              <w:rPr>
                <w:rFonts w:ascii="Bookman Old Style" w:hAnsi="Bookman Old Style" w:cs="Times New Roman"/>
                <w:sz w:val="18"/>
                <w:szCs w:val="18"/>
              </w:rPr>
              <w:t>Szkolenie pracowników Działu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Aparatury Medycznej z obsługi </w:t>
            </w:r>
            <w:r w:rsidRPr="000A61DF">
              <w:rPr>
                <w:rFonts w:ascii="Bookman Old Style" w:hAnsi="Bookman Old Style" w:cs="Times New Roman"/>
                <w:sz w:val="18"/>
                <w:szCs w:val="18"/>
              </w:rPr>
              <w:t>i konserwacji urządzenia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1732D8" w14:textId="77777777" w:rsidR="000A61DF" w:rsidRPr="00D305E7" w:rsidRDefault="000A61DF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32065785" w14:textId="77777777" w:rsidR="000A61DF" w:rsidRPr="00D305E7" w:rsidRDefault="000A61DF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09B1BBB9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FC17FA6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2D4AC1F2" w14:textId="77777777" w:rsidR="00D305E7" w:rsidRPr="00D305E7" w:rsidRDefault="00D305E7" w:rsidP="00D305E7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Instrukcja obsługi w języku polskim w formie papierowej lub elektronicznej oraz w języku angielskim (jeżeli posiada) w chwili dostawy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7FF350F" w14:textId="77777777" w:rsidR="00D305E7" w:rsidRPr="00D305E7" w:rsidRDefault="00D305E7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04A3599E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694CB060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027B59F7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  <w:vAlign w:val="center"/>
          </w:tcPr>
          <w:p w14:paraId="5136FD38" w14:textId="0673BA68" w:rsidR="00D305E7" w:rsidRPr="00D305E7" w:rsidRDefault="00D305E7" w:rsidP="00116F53">
            <w:pPr>
              <w:snapToGrid w:val="0"/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Podłączenie</w:t>
            </w:r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 xml:space="preserve"> i konfiguracja urządzenia</w:t>
            </w: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 xml:space="preserve"> do obecnie posiadanego stanowiska obsługującego separatory</w:t>
            </w:r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 xml:space="preserve"> Spectra </w:t>
            </w:r>
            <w:proofErr w:type="spellStart"/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>Optia</w:t>
            </w:r>
            <w:proofErr w:type="spellEnd"/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>prod</w:t>
            </w:r>
            <w:proofErr w:type="spellEnd"/>
            <w:r w:rsidR="00116F53">
              <w:rPr>
                <w:rFonts w:ascii="Bookman Old Style" w:hAnsi="Bookman Old Style" w:cs="Times New Roman"/>
                <w:sz w:val="18"/>
                <w:szCs w:val="18"/>
              </w:rPr>
              <w:t>. TERUMO BCT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59D38CB" w14:textId="77777777" w:rsidR="00D305E7" w:rsidRPr="00D305E7" w:rsidRDefault="00D305E7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3B98A05C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461BAC69" w14:textId="77777777" w:rsidTr="00EB64C8">
        <w:trPr>
          <w:trHeight w:val="60"/>
          <w:jc w:val="center"/>
        </w:trPr>
        <w:tc>
          <w:tcPr>
            <w:tcW w:w="11425" w:type="dxa"/>
            <w:gridSpan w:val="4"/>
            <w:shd w:val="clear" w:color="auto" w:fill="F2F2F2" w:themeFill="background1" w:themeFillShade="F2"/>
            <w:vAlign w:val="center"/>
          </w:tcPr>
          <w:p w14:paraId="3E17539A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  <w:p w14:paraId="1FEF1709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WARUNKI GWARANCJI I SERWISU</w:t>
            </w:r>
          </w:p>
          <w:p w14:paraId="325370D0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214D3AFA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EB2119C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005A62DF" w14:textId="1E7A46B2" w:rsidR="00D305E7" w:rsidRPr="00D305E7" w:rsidRDefault="00D305E7" w:rsidP="000A61D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D305E7">
              <w:rPr>
                <w:rFonts w:ascii="Bookman Old Style" w:hAnsi="Bookman Old Style" w:cs="Times New Roman"/>
                <w:sz w:val="18"/>
                <w:szCs w:val="18"/>
              </w:rPr>
              <w:t>Gwarancja 24 miesiące</w:t>
            </w:r>
            <w:r w:rsidR="000A61DF">
              <w:t xml:space="preserve"> </w:t>
            </w:r>
            <w:r w:rsidR="000A61DF" w:rsidRPr="000A61DF">
              <w:rPr>
                <w:rFonts w:ascii="Bookman Old Style" w:hAnsi="Bookman Old Style" w:cs="Times New Roman"/>
                <w:sz w:val="18"/>
                <w:szCs w:val="18"/>
              </w:rPr>
              <w:t>nie krótsza jednak od okresu gwarancji zapewnionej przez producenta urządzenia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68FA648" w14:textId="77777777" w:rsidR="00D305E7" w:rsidRPr="00D305E7" w:rsidRDefault="00D305E7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</w:p>
        </w:tc>
        <w:tc>
          <w:tcPr>
            <w:tcW w:w="4059" w:type="dxa"/>
          </w:tcPr>
          <w:p w14:paraId="6FEAE482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tr w:rsidR="00D305E7" w:rsidRPr="00D305E7" w14:paraId="78BAC5A1" w14:textId="77777777" w:rsidTr="00F40C36">
        <w:trPr>
          <w:trHeight w:val="60"/>
          <w:jc w:val="center"/>
        </w:trPr>
        <w:tc>
          <w:tcPr>
            <w:tcW w:w="907" w:type="dxa"/>
            <w:vAlign w:val="center"/>
          </w:tcPr>
          <w:p w14:paraId="2ADC4417" w14:textId="77777777" w:rsidR="00D305E7" w:rsidRPr="00D305E7" w:rsidRDefault="00D305E7" w:rsidP="00D305E7">
            <w:pPr>
              <w:numPr>
                <w:ilvl w:val="0"/>
                <w:numId w:val="2"/>
              </w:numPr>
              <w:snapToGrid w:val="0"/>
              <w:spacing w:line="300" w:lineRule="exact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  <w:tc>
          <w:tcPr>
            <w:tcW w:w="4900" w:type="dxa"/>
            <w:shd w:val="clear" w:color="auto" w:fill="auto"/>
          </w:tcPr>
          <w:p w14:paraId="5F2CF3D4" w14:textId="3751E61C" w:rsidR="00D305E7" w:rsidRDefault="00D305E7" w:rsidP="00D305E7">
            <w:pPr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14:paraId="5A93052C" w14:textId="77777777" w:rsidR="000A61DF" w:rsidRPr="00D305E7" w:rsidRDefault="000A61DF" w:rsidP="000A61DF">
            <w:pPr>
              <w:rPr>
                <w:rFonts w:ascii="Bookman Old Style" w:hAnsi="Bookman Old Style" w:cs="Times New Roman"/>
                <w:sz w:val="18"/>
                <w:szCs w:val="18"/>
              </w:rPr>
            </w:pPr>
            <w:r w:rsidRPr="000A61DF">
              <w:rPr>
                <w:rFonts w:ascii="Bookman Old Style" w:hAnsi="Bookman Old Style" w:cs="Times New Roman"/>
                <w:sz w:val="18"/>
                <w:szCs w:val="18"/>
              </w:rPr>
              <w:t>Przegląd/y w okresie gwarancji wraz ze wszystkimi materiałami niezbędnymi do wykonania przeglądu zgodnie z zaleceniami producenta (co najmniej jeden przegląd pod koniec każdego roku trwania gwarancji)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53A5E2C" w14:textId="77777777" w:rsidR="00D305E7" w:rsidRPr="00D305E7" w:rsidRDefault="00D305E7" w:rsidP="00D305E7">
            <w:pPr>
              <w:jc w:val="center"/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</w:pPr>
            <w:r w:rsidRPr="00D305E7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TAK</w:t>
            </w:r>
            <w:r w:rsidR="000A61DF">
              <w:rPr>
                <w:rFonts w:ascii="Bookman Old Style" w:eastAsia="Times New Roman" w:hAnsi="Bookman Old Style" w:cs="Times New Roman"/>
                <w:b/>
                <w:color w:val="auto"/>
                <w:sz w:val="18"/>
                <w:szCs w:val="18"/>
                <w:lang w:val="pl-PL"/>
              </w:rPr>
              <w:t>, podać częstotliwość przeglądów</w:t>
            </w:r>
          </w:p>
        </w:tc>
        <w:tc>
          <w:tcPr>
            <w:tcW w:w="4059" w:type="dxa"/>
          </w:tcPr>
          <w:p w14:paraId="3B3B9B1F" w14:textId="77777777" w:rsidR="00D305E7" w:rsidRPr="00D305E7" w:rsidRDefault="00D305E7" w:rsidP="00D305E7">
            <w:pPr>
              <w:snapToGrid w:val="0"/>
              <w:jc w:val="center"/>
              <w:rPr>
                <w:rFonts w:ascii="Bookman Old Style" w:eastAsia="Times New Roman" w:hAnsi="Bookman Old Style" w:cs="Times New Roman"/>
                <w:color w:val="auto"/>
                <w:sz w:val="18"/>
                <w:szCs w:val="18"/>
                <w:lang w:val="pl-PL"/>
              </w:rPr>
            </w:pPr>
          </w:p>
        </w:tc>
      </w:tr>
      <w:bookmarkEnd w:id="1"/>
    </w:tbl>
    <w:p w14:paraId="303CBBBB" w14:textId="77777777" w:rsidR="003F422E" w:rsidRPr="00D305E7" w:rsidRDefault="003F422E" w:rsidP="003F422E">
      <w:pPr>
        <w:pStyle w:val="Nagwek11"/>
        <w:keepNext/>
        <w:keepLines/>
        <w:shd w:val="clear" w:color="auto" w:fill="auto"/>
        <w:spacing w:after="0" w:line="300" w:lineRule="exact"/>
        <w:rPr>
          <w:rFonts w:ascii="Bookman Old Style" w:hAnsi="Bookman Old Style" w:cs="Times New Roman"/>
          <w:sz w:val="18"/>
          <w:szCs w:val="18"/>
          <w:lang w:val="pl-PL"/>
        </w:rPr>
      </w:pPr>
    </w:p>
    <w:p w14:paraId="24FAD3B8" w14:textId="77777777" w:rsidR="003F422E" w:rsidRPr="00D305E7" w:rsidRDefault="003F422E">
      <w:pPr>
        <w:rPr>
          <w:rFonts w:ascii="Bookman Old Style" w:hAnsi="Bookman Old Style"/>
          <w:sz w:val="18"/>
          <w:szCs w:val="18"/>
        </w:rPr>
      </w:pPr>
    </w:p>
    <w:sectPr w:rsidR="003F422E" w:rsidRPr="00D305E7" w:rsidSect="0034006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2C69F2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Times New Roman"/>
        <w:b w:val="0"/>
        <w:bCs w:val="0"/>
        <w:color w:val="auto"/>
        <w:sz w:val="18"/>
        <w:szCs w:val="18"/>
      </w:rPr>
    </w:lvl>
  </w:abstractNum>
  <w:abstractNum w:abstractNumId="2" w15:restartNumberingAfterBreak="0">
    <w:nsid w:val="22F96A74"/>
    <w:multiLevelType w:val="hybridMultilevel"/>
    <w:tmpl w:val="11FC5B9A"/>
    <w:lvl w:ilvl="0" w:tplc="0F162B8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503"/>
    <w:multiLevelType w:val="hybridMultilevel"/>
    <w:tmpl w:val="4B902EAE"/>
    <w:lvl w:ilvl="0" w:tplc="A5845A5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65935"/>
    <w:multiLevelType w:val="multilevel"/>
    <w:tmpl w:val="12E67DD8"/>
    <w:lvl w:ilvl="0">
      <w:start w:val="1"/>
      <w:numFmt w:val="decimal"/>
      <w:pStyle w:val="Nagwek1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29C2BD8"/>
    <w:multiLevelType w:val="hybridMultilevel"/>
    <w:tmpl w:val="9124B074"/>
    <w:lvl w:ilvl="0" w:tplc="F93E5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C5DCB"/>
    <w:multiLevelType w:val="hybridMultilevel"/>
    <w:tmpl w:val="9502F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22E"/>
    <w:rsid w:val="00094F25"/>
    <w:rsid w:val="000A61DF"/>
    <w:rsid w:val="00116F53"/>
    <w:rsid w:val="00184774"/>
    <w:rsid w:val="00192BF4"/>
    <w:rsid w:val="001A5402"/>
    <w:rsid w:val="00220453"/>
    <w:rsid w:val="00287E90"/>
    <w:rsid w:val="002B3BC8"/>
    <w:rsid w:val="002F398D"/>
    <w:rsid w:val="00317324"/>
    <w:rsid w:val="0034006C"/>
    <w:rsid w:val="00363F06"/>
    <w:rsid w:val="003F422E"/>
    <w:rsid w:val="00430C88"/>
    <w:rsid w:val="004A6478"/>
    <w:rsid w:val="00595C10"/>
    <w:rsid w:val="00633D53"/>
    <w:rsid w:val="00645CC7"/>
    <w:rsid w:val="006F3208"/>
    <w:rsid w:val="00771E38"/>
    <w:rsid w:val="008762E2"/>
    <w:rsid w:val="00911124"/>
    <w:rsid w:val="00982050"/>
    <w:rsid w:val="009E1D77"/>
    <w:rsid w:val="00A93D49"/>
    <w:rsid w:val="00AE0DB2"/>
    <w:rsid w:val="00CE36AD"/>
    <w:rsid w:val="00D305E7"/>
    <w:rsid w:val="00D857D1"/>
    <w:rsid w:val="00DD5BFB"/>
    <w:rsid w:val="00DF1CD7"/>
    <w:rsid w:val="00EB64C8"/>
    <w:rsid w:val="00F40C36"/>
    <w:rsid w:val="00F5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6300"/>
  <w15:chartTrackingRefBased/>
  <w15:docId w15:val="{DCB3F419-9CB1-4CD8-9FE0-E844E3F2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F422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qFormat/>
    <w:rsid w:val="003F422E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bCs/>
      <w:color w:val="auto"/>
      <w:sz w:val="22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820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22E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Nagwek10">
    <w:name w:val="Nagłówek #1_"/>
    <w:basedOn w:val="Domylnaczcionkaakapitu"/>
    <w:link w:val="Nagwek11"/>
    <w:rsid w:val="003F422E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3F422E"/>
    <w:pPr>
      <w:shd w:val="clear" w:color="auto" w:fill="FFFFFF"/>
      <w:spacing w:after="300" w:line="0" w:lineRule="atLeast"/>
      <w:outlineLvl w:val="0"/>
    </w:pPr>
    <w:rPr>
      <w:rFonts w:ascii="Trebuchet MS" w:eastAsia="Trebuchet MS" w:hAnsi="Trebuchet MS" w:cs="Trebuchet MS"/>
      <w:color w:val="auto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3F422E"/>
    <w:pPr>
      <w:ind w:left="720"/>
      <w:contextualSpacing/>
    </w:pPr>
  </w:style>
  <w:style w:type="paragraph" w:customStyle="1" w:styleId="Tekstkomentarza1">
    <w:name w:val="Tekst komentarza1"/>
    <w:basedOn w:val="Normalny"/>
    <w:rsid w:val="003F422E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val="pl-PL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82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5E7"/>
    <w:rPr>
      <w:rFonts w:ascii="Segoe UI" w:eastAsia="Arial Unicode MS" w:hAnsi="Segoe UI" w:cs="Segoe UI"/>
      <w:color w:val="000000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1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1DF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1DF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Mitrus</dc:creator>
  <cp:keywords/>
  <dc:description/>
  <cp:lastModifiedBy>Ewelina Piątek</cp:lastModifiedBy>
  <cp:revision>4</cp:revision>
  <cp:lastPrinted>2022-08-17T10:00:00Z</cp:lastPrinted>
  <dcterms:created xsi:type="dcterms:W3CDTF">2022-08-11T11:17:00Z</dcterms:created>
  <dcterms:modified xsi:type="dcterms:W3CDTF">2022-08-17T10:00:00Z</dcterms:modified>
</cp:coreProperties>
</file>