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2"/>
        <w:gridCol w:w="3241"/>
        <w:gridCol w:w="3529"/>
      </w:tblGrid>
      <w:tr w:rsidR="00892EA1" w:rsidTr="002D0997">
        <w:trPr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PARAMETRY GRANICZNE ANALIZATORA IMMUNOCHEMICZNEGO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(wypełnia Wykonawca)</w:t>
            </w:r>
          </w:p>
          <w:p w:rsidR="00892EA1" w:rsidRDefault="00892EA1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immunochemiczny, rok produkcji minimum 2019 wraz z drukarką.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92EA1" w:rsidRDefault="00892EA1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Pełna nazwa: __________________</w:t>
            </w:r>
          </w:p>
          <w:p w:rsidR="00892EA1" w:rsidRDefault="002D0997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 produkcji:__________________</w:t>
            </w:r>
          </w:p>
          <w:p w:rsidR="00892EA1" w:rsidRDefault="002D0997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Producent: ____________________</w:t>
            </w: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Fizyczne podłączenie oferowanego analizatora immunochemicznego do linii GLP posiadanej przez Zamawiającego.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Szeroki zakres wykonywanych oznaczeń a w tym wymagane:</w:t>
            </w:r>
          </w:p>
          <w:p w:rsidR="00892EA1" w:rsidRDefault="00892EA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Hormon anty-Mullerowski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Cyfra 21-1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Estradiol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Interleukina-6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Kalcytonina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Kortyzol w ślinie</w:t>
            </w:r>
          </w:p>
          <w:p w:rsidR="002D0997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P/ciała anty-HAV IgM</w:t>
            </w:r>
          </w:p>
          <w:p w:rsidR="002D0997" w:rsidRDefault="000D54F5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P/ciała anty-HCV oraz </w:t>
            </w:r>
            <w:r w:rsidR="002D0997">
              <w:rPr>
                <w:rFonts w:ascii="Calibri" w:hAnsi="Calibri" w:cs="Calibri"/>
                <w:sz w:val="20"/>
                <w:szCs w:val="20"/>
              </w:rPr>
              <w:t xml:space="preserve"> antygen HCV </w:t>
            </w:r>
            <w:r>
              <w:rPr>
                <w:rFonts w:ascii="Calibri" w:hAnsi="Calibri" w:cs="Calibri"/>
                <w:sz w:val="20"/>
                <w:szCs w:val="20"/>
              </w:rPr>
              <w:t>w jednym oznaczeniu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P/ciała przeciwko HTLV-I/II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P/ciała przeciwko peroksydazie tarczycowej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P/ciała przeciwko tyreoglobulinie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P/ciała przeciwko receptorowi TSH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sFlt-1</w:t>
            </w:r>
          </w:p>
          <w:p w:rsidR="00892EA1" w:rsidRDefault="002D0997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Tyreoglobulina</w:t>
            </w:r>
          </w:p>
          <w:p w:rsidR="003B7AE1" w:rsidRPr="003B7AE1" w:rsidRDefault="003B7AE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AFP</w:t>
            </w:r>
          </w:p>
          <w:p w:rsidR="002D0997" w:rsidRDefault="003B7AE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3B7AE1">
              <w:rPr>
                <w:rFonts w:ascii="Calibri" w:hAnsi="Calibri" w:cs="Calibri"/>
                <w:sz w:val="20"/>
                <w:szCs w:val="20"/>
              </w:rPr>
              <w:t xml:space="preserve">PIVKA-II </w:t>
            </w:r>
          </w:p>
          <w:p w:rsidR="003B7AE1" w:rsidRDefault="003B7AE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Algorytm GAAD</w:t>
            </w:r>
            <w:r w:rsidR="00EF332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3326" w:rsidRPr="00EF3326">
              <w:rPr>
                <w:rFonts w:ascii="Calibri" w:hAnsi="Calibri" w:cs="Calibri"/>
                <w:sz w:val="20"/>
                <w:szCs w:val="20"/>
              </w:rPr>
              <w:t>(posiadający IVD CE)</w:t>
            </w:r>
          </w:p>
          <w:p w:rsidR="00892EA1" w:rsidRDefault="00892EA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92EA1" w:rsidRDefault="00892EA1">
            <w:pPr>
              <w:pStyle w:val="Tekstpodstawowy21"/>
              <w:widowControl w:val="0"/>
              <w:spacing w:after="60" w:line="240" w:lineRule="auto"/>
              <w:ind w:left="121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892EA1" w:rsidRDefault="00892EA1">
            <w:pPr>
              <w:pStyle w:val="Tekstpodstawowy21"/>
              <w:widowControl w:val="0"/>
              <w:spacing w:after="60" w:line="240" w:lineRule="auto"/>
              <w:ind w:left="121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892EA1" w:rsidRDefault="00892EA1">
            <w:pPr>
              <w:pStyle w:val="Tekstpodstawowy21"/>
              <w:widowControl w:val="0"/>
              <w:spacing w:after="60" w:line="240" w:lineRule="auto"/>
              <w:ind w:left="12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92EA1" w:rsidRDefault="00892EA1">
            <w:pPr>
              <w:pStyle w:val="Tekstpodstawowy21"/>
              <w:widowControl w:val="0"/>
              <w:spacing w:after="60" w:line="240" w:lineRule="auto"/>
              <w:ind w:left="12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Chłodzona karuzela ( maksymalna temperatura 15 st. C) odczynnikowa o pojemności minimum 25 miejsc.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Wbudowany system kontroli jakości z analizą statystyczną i graficzną.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pracujący w technologii chemiluminescencji, o wydajności nie mniejszej niż 150 oznaczeń na godzinę.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dokładania na pokład analizatora wszystkich odczynników oraz materiałów zużywalnych potrzebnych do wykonania wszystkich oznaczeń bez konieczności przerywania analizy.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Przebieg reakcji w jednorazowej kuwecie.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Pipetowanie próbek pacjentów za pomocą jednorazowych tipsów.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27E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EA1" w:rsidRPr="00227E7F" w:rsidRDefault="002D0997">
            <w:pPr>
              <w:widowControl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227E7F">
              <w:rPr>
                <w:rFonts w:ascii="Calibri" w:hAnsi="Calibri" w:cs="Calibri"/>
                <w:sz w:val="20"/>
                <w:szCs w:val="20"/>
              </w:rPr>
              <w:t>Możliwość wykonywania badań w:</w:t>
            </w:r>
          </w:p>
          <w:p w:rsidR="00892EA1" w:rsidRPr="00227E7F" w:rsidRDefault="002D0997">
            <w:pPr>
              <w:widowControl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227E7F">
              <w:rPr>
                <w:rFonts w:ascii="Calibri" w:hAnsi="Calibri" w:cs="Calibri"/>
                <w:sz w:val="20"/>
                <w:szCs w:val="20"/>
              </w:rPr>
              <w:t>- surowicy</w:t>
            </w:r>
          </w:p>
          <w:p w:rsidR="00892EA1" w:rsidRPr="00227E7F" w:rsidRDefault="002D0997">
            <w:pPr>
              <w:widowControl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227E7F">
              <w:rPr>
                <w:rFonts w:ascii="Calibri" w:hAnsi="Calibri" w:cs="Calibri"/>
                <w:sz w:val="20"/>
                <w:szCs w:val="20"/>
              </w:rPr>
              <w:t>- osoczu</w:t>
            </w:r>
          </w:p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227E7F">
              <w:rPr>
                <w:rFonts w:ascii="Calibri" w:hAnsi="Calibri" w:cs="Calibri"/>
                <w:sz w:val="20"/>
                <w:szCs w:val="20"/>
              </w:rPr>
              <w:t>- ślinie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Identyfikacja próbek badanych na podstawie kodu kreskowego.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Czujniki skrzepów dla próbek.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wykonywania automatycznych rozcieńczeń próbek.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Zastosowanie materiałów kontrolnych do wewnątrzlaboratoryjnej kontroli jakości oznaczeń immunochemicznych.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TAK, </w:t>
            </w:r>
          </w:p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PODAĆ DOSTĘPNE PARAMETRY OBJĘTE KONTROLĄ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Monitorowanie zużycia odczynników i materiałów zużywalnych w aparacie.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Podłączenie analizatora do systemu uzdatniania wody posiadanego przez Zamawiającego.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Dwukierunkowa komunikacja danych z posiadanym przez Zamawiającego laboratoryjnym systemem informatycznym (InfoMedica, Asseco).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Podłączenie analizatora do posiadanej przez Zamawiającego rozdzielni podtrzymującej pracę analizatorów podczas nagłego zaniku napięcia sieci elektrycznej ( w zamian tradycyjnego UPS 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Podłączenie  i pokrycia kosztów podłączenia analizatora  do posiadanego przez Zamawiającego systemu informatycznego.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WYMAGANA JEST PEŁNA TRANSMISJA DANYCH, BEZ KONIECZNOŚCI INSTALACJI DODATKOWEGO (PONAD STANDARDOWEGO) OPROGRAMOWANIA W KOMPUTERZE STERUJĄCYM PRACĄ APARATU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Wykonywanie w czasie trwania umowy okresowych przeglądów technicznych analizatora (zgodnie z zaleceniami</w:t>
            </w:r>
            <w:r w:rsidR="002D095B">
              <w:rPr>
                <w:rFonts w:ascii="Calibri" w:hAnsi="Calibri" w:cs="Calibri"/>
                <w:sz w:val="20"/>
                <w:szCs w:val="20"/>
              </w:rPr>
              <w:t xml:space="preserve"> producenta urządzenia minimum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x w roku), obejmujących: dojazd, pracę inżyniera, wszystkie części zużywalne i zamienne.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92EA1" w:rsidRDefault="00892EA1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Serwisowanie analizatora i sprzętu dodatkowego (w tym: jednostka sterująca, monitor, drukarka) przez cały okres dzierżawy  obejmujące: dojazd, pracę inżyniera serwisu, wszystkie  części zużywalne i  zamienne oraz niezbędne akcesoria (np. wężyki, przewody odczynnikowe, igły, zawory, elementy  mechaniczne i elektryczne analizatora) związane z bieżącą pracą oferowanego urządzenia.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92EA1" w:rsidRDefault="00892EA1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Bezpłatne aktualizacje oprogramowania podczas trwania umowy.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Interwencja serwisu na zgłoszenie awarii (przyjazd do Zamawiającego w celu naprawy) do 24 h w dni robocze od momentu zgłoszenia awarii autoryzowanemu serwisowi (telefonicznie, pocztą elektroniczną).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 w:rsidP="00227E7F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Bezpłatne przeszkolenie użytkowników (</w:t>
            </w:r>
            <w:r w:rsidR="00227E7F">
              <w:rPr>
                <w:rFonts w:ascii="Calibri" w:hAnsi="Calibri" w:cs="Calibri"/>
                <w:sz w:val="20"/>
                <w:szCs w:val="20"/>
              </w:rPr>
              <w:t>minimum 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pracowników) z zakresu </w:t>
            </w:r>
            <w:r w:rsidR="00AD7F36">
              <w:rPr>
                <w:rFonts w:ascii="Calibri" w:hAnsi="Calibri" w:cs="Calibri"/>
                <w:sz w:val="20"/>
                <w:szCs w:val="20"/>
              </w:rPr>
              <w:lastRenderedPageBreak/>
              <w:t>obsługi analizatora (minimum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szkolenia) w miejscu instalacji urządzenia.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przypadku trzykrotnej awarii tego samego zespołu/podzespołu/modułu systemu w okresie obowiązywania umowy – wymiana systemu na nowy o parametrach nie niższych niż oferowany, na koszt Wykonawcy.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rPr>
          <w:trHeight w:val="4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Pokrycie kosztów uczestnictwa w zewnątrzlaboratoryjnej kontroli jakości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zakresie wszystkich oferowanych oznaczeń.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EA1" w:rsidTr="002D099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Aktualne, zgodnie z obowiązującymi przepisami karty charakterystyki substancji niebezpiecznych dla odczynników dostarczone wraz z pierwszą dostawą, w przypadku aktualizacji oraz na każde żądanie Zamawiającego.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2D0997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EA1" w:rsidRDefault="00892EA1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2EA1" w:rsidRDefault="00892EA1">
      <w:pPr>
        <w:rPr>
          <w:rFonts w:ascii="Calibri" w:hAnsi="Calibri" w:cs="Calibri"/>
          <w:b/>
          <w:sz w:val="20"/>
          <w:szCs w:val="20"/>
        </w:rPr>
      </w:pPr>
    </w:p>
    <w:p w:rsidR="00892EA1" w:rsidRDefault="002D099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892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C1" w:rsidRDefault="00C109C1">
      <w:r>
        <w:separator/>
      </w:r>
    </w:p>
  </w:endnote>
  <w:endnote w:type="continuationSeparator" w:id="0">
    <w:p w:rsidR="00C109C1" w:rsidRDefault="00C1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51" w:rsidRDefault="003D2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A1" w:rsidRDefault="00892EA1">
    <w:pPr>
      <w:rPr>
        <w:rFonts w:ascii="Bookman Old Style" w:hAnsi="Bookman Old Style" w:cs="Bookman Old Style"/>
        <w:sz w:val="16"/>
        <w:szCs w:val="16"/>
      </w:rPr>
    </w:pPr>
  </w:p>
  <w:p w:rsidR="00892EA1" w:rsidRDefault="002D0997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3D285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3D285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51" w:rsidRDefault="003D2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C1" w:rsidRDefault="00C109C1">
      <w:r>
        <w:separator/>
      </w:r>
    </w:p>
  </w:footnote>
  <w:footnote w:type="continuationSeparator" w:id="0">
    <w:p w:rsidR="00C109C1" w:rsidRDefault="00C1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51" w:rsidRDefault="003D2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A1" w:rsidRDefault="00892EA1">
    <w:pPr>
      <w:jc w:val="both"/>
      <w:rPr>
        <w:rFonts w:ascii="Calibri" w:hAnsi="Calibri"/>
      </w:rPr>
    </w:pPr>
  </w:p>
  <w:p w:rsidR="00892EA1" w:rsidRDefault="003D2851" w:rsidP="003D2851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</w:t>
    </w:r>
  </w:p>
  <w:p w:rsidR="00892EA1" w:rsidRDefault="00892EA1">
    <w:pPr>
      <w:pStyle w:val="Bezodstpw"/>
      <w:rPr>
        <w:rFonts w:ascii="Calibri" w:hAnsi="Calibri" w:cs="Calibri"/>
        <w:sz w:val="20"/>
        <w:szCs w:val="20"/>
      </w:rPr>
    </w:pPr>
  </w:p>
  <w:p w:rsidR="00892EA1" w:rsidRDefault="002D0997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>SUKCESYWNE DOSTAWY  ODCZYNNIKÓW I MATERIAŁÓW ZUŻYWALNYCH  WRAZ Z DZIERŻAWĄ ANALIZATORA IMMUNOCHEMICZNEGO DLA  NARODOWEGO INSTYTUTU ONKOLOGII IM. MARII SKŁODOWSKIEJ-CURIE – PAŃSTWOWEGO INSTYTUTU BADAWCZEGO ODDZIAŁU W GLIWICACH</w:t>
    </w:r>
  </w:p>
  <w:p w:rsidR="00892EA1" w:rsidRDefault="00892EA1">
    <w:pPr>
      <w:pStyle w:val="Bezodstpw"/>
      <w:jc w:val="center"/>
      <w:rPr>
        <w:rFonts w:ascii="Calibri" w:hAnsi="Calibri" w:cs="Calibri"/>
        <w:b/>
        <w:sz w:val="20"/>
        <w:szCs w:val="20"/>
      </w:rPr>
    </w:pPr>
    <w:bookmarkStart w:id="0" w:name="_GoBack"/>
    <w:bookmarkEnd w:id="0"/>
  </w:p>
  <w:p w:rsidR="00892EA1" w:rsidRDefault="002D0997">
    <w:pPr>
      <w:pStyle w:val="Bezodstpw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  W Y M A G A N E</w:t>
    </w:r>
  </w:p>
  <w:p w:rsidR="00892EA1" w:rsidRDefault="00892EA1">
    <w:pPr>
      <w:rPr>
        <w:rFonts w:ascii="Bookman Old Style" w:hAnsi="Bookman Old Style" w:cs="Bookman Old Style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51" w:rsidRDefault="003D28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A1"/>
    <w:rsid w:val="000D54F5"/>
    <w:rsid w:val="00227E7F"/>
    <w:rsid w:val="002D095B"/>
    <w:rsid w:val="002D0997"/>
    <w:rsid w:val="003B7AE1"/>
    <w:rsid w:val="003D2851"/>
    <w:rsid w:val="007E6420"/>
    <w:rsid w:val="00892EA1"/>
    <w:rsid w:val="00AD7F36"/>
    <w:rsid w:val="00C109C1"/>
    <w:rsid w:val="00E8364A"/>
    <w:rsid w:val="00EF3326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749B-69A9-40A9-B304-78FB6164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 w:cs="Times New Roman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 w:cs="Times New Roman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 w:cs="Times New Roman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rFonts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rFonts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rFonts w:cs="Times New Roman"/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rFonts w:cs="Times New Roman"/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2021-02-16T11:28:00Z</cp:lastPrinted>
  <dcterms:created xsi:type="dcterms:W3CDTF">2023-01-16T07:13:00Z</dcterms:created>
  <dcterms:modified xsi:type="dcterms:W3CDTF">2023-01-16T07:13:00Z</dcterms:modified>
  <dc:language>pl-PL</dc:language>
</cp:coreProperties>
</file>