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A7" w:rsidRPr="003C71A3" w:rsidRDefault="000C6BEA" w:rsidP="00FE0BA7">
      <w:pPr>
        <w:rPr>
          <w:rFonts w:cstheme="minorHAnsi"/>
          <w:sz w:val="16"/>
          <w:szCs w:val="16"/>
        </w:rPr>
      </w:pPr>
      <w:r w:rsidRPr="003C71A3">
        <w:rPr>
          <w:rFonts w:cstheme="minorHAnsi"/>
          <w:sz w:val="16"/>
          <w:szCs w:val="16"/>
        </w:rPr>
        <w:t>ZADANIE nr 3</w:t>
      </w:r>
      <w:r w:rsidR="00FE0BA7" w:rsidRPr="003C71A3">
        <w:rPr>
          <w:rFonts w:cstheme="minorHAnsi"/>
          <w:sz w:val="16"/>
          <w:szCs w:val="16"/>
        </w:rPr>
        <w:t>: Akcesoria do aparatu BIOMEK i7, płytki i pokrywki Firmy ThermoFisher</w:t>
      </w:r>
      <w:r w:rsidR="0004331E" w:rsidRPr="003C71A3">
        <w:rPr>
          <w:rFonts w:cstheme="minorHAnsi"/>
          <w:sz w:val="16"/>
          <w:szCs w:val="16"/>
        </w:rPr>
        <w:t xml:space="preserve"> lub równoważne</w:t>
      </w:r>
    </w:p>
    <w:tbl>
      <w:tblPr>
        <w:tblStyle w:val="Tabela-Siatka"/>
        <w:tblW w:w="14601" w:type="dxa"/>
        <w:tblInd w:w="-289" w:type="dxa"/>
        <w:tblLook w:val="04A0" w:firstRow="1" w:lastRow="0" w:firstColumn="1" w:lastColumn="0" w:noHBand="0" w:noVBand="1"/>
      </w:tblPr>
      <w:tblGrid>
        <w:gridCol w:w="568"/>
        <w:gridCol w:w="2126"/>
        <w:gridCol w:w="3119"/>
        <w:gridCol w:w="1055"/>
        <w:gridCol w:w="1255"/>
        <w:gridCol w:w="1232"/>
        <w:gridCol w:w="1232"/>
        <w:gridCol w:w="1232"/>
        <w:gridCol w:w="1232"/>
        <w:gridCol w:w="1550"/>
      </w:tblGrid>
      <w:tr w:rsidR="003C71A3" w:rsidRPr="003C71A3" w:rsidTr="003C71A3">
        <w:trPr>
          <w:trHeight w:val="720"/>
        </w:trPr>
        <w:tc>
          <w:tcPr>
            <w:tcW w:w="568" w:type="dxa"/>
            <w:shd w:val="clear" w:color="auto" w:fill="DEEAF6" w:themeFill="accent1" w:themeFillTint="33"/>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LP.</w:t>
            </w:r>
          </w:p>
        </w:tc>
        <w:tc>
          <w:tcPr>
            <w:tcW w:w="2126" w:type="dxa"/>
            <w:shd w:val="clear" w:color="auto" w:fill="DEEAF6" w:themeFill="accent1" w:themeFillTint="33"/>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NAZWA PRODUKTU</w:t>
            </w:r>
          </w:p>
        </w:tc>
        <w:tc>
          <w:tcPr>
            <w:tcW w:w="3119" w:type="dxa"/>
            <w:shd w:val="clear" w:color="auto" w:fill="DEEAF6" w:themeFill="accent1" w:themeFillTint="33"/>
            <w:noWrap/>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WYMAGANIA WOBEC PRZEDMIOTU ZAPOTRZEBOWANIA</w:t>
            </w:r>
          </w:p>
        </w:tc>
        <w:tc>
          <w:tcPr>
            <w:tcW w:w="1055" w:type="dxa"/>
            <w:shd w:val="clear" w:color="auto" w:fill="DEEAF6" w:themeFill="accent1" w:themeFillTint="33"/>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j.m.</w:t>
            </w:r>
          </w:p>
        </w:tc>
        <w:tc>
          <w:tcPr>
            <w:tcW w:w="1255" w:type="dxa"/>
            <w:shd w:val="clear" w:color="auto" w:fill="DEEAF6" w:themeFill="accent1" w:themeFillTint="33"/>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ILOŚĆ SZTUK</w:t>
            </w:r>
          </w:p>
        </w:tc>
        <w:tc>
          <w:tcPr>
            <w:tcW w:w="123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3C71A3" w:rsidRPr="00F46312" w:rsidRDefault="003C71A3" w:rsidP="003C71A3">
            <w:pPr>
              <w:jc w:val="center"/>
              <w:rPr>
                <w:rFonts w:asciiTheme="majorHAnsi" w:hAnsiTheme="majorHAnsi" w:cstheme="majorHAnsi"/>
                <w:sz w:val="16"/>
                <w:szCs w:val="16"/>
              </w:rPr>
            </w:pPr>
            <w:r w:rsidRPr="00F46312">
              <w:rPr>
                <w:rFonts w:asciiTheme="majorHAnsi" w:hAnsiTheme="majorHAnsi" w:cstheme="majorHAnsi"/>
                <w:sz w:val="16"/>
                <w:szCs w:val="16"/>
              </w:rPr>
              <w:t>Cena jedn.</w:t>
            </w:r>
            <w:r w:rsidRPr="00F46312">
              <w:rPr>
                <w:rFonts w:asciiTheme="majorHAnsi" w:hAnsiTheme="majorHAnsi" w:cstheme="majorHAnsi"/>
                <w:sz w:val="16"/>
                <w:szCs w:val="16"/>
              </w:rPr>
              <w:br/>
              <w:t>netto</w:t>
            </w:r>
          </w:p>
        </w:tc>
        <w:tc>
          <w:tcPr>
            <w:tcW w:w="123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3C71A3" w:rsidRPr="00F46312" w:rsidRDefault="003C71A3" w:rsidP="003C71A3">
            <w:pPr>
              <w:spacing w:line="360" w:lineRule="auto"/>
              <w:jc w:val="center"/>
              <w:rPr>
                <w:rFonts w:asciiTheme="majorHAnsi" w:hAnsiTheme="majorHAnsi" w:cstheme="majorHAnsi"/>
                <w:sz w:val="16"/>
                <w:szCs w:val="16"/>
              </w:rPr>
            </w:pPr>
            <w:r w:rsidRPr="00F46312">
              <w:rPr>
                <w:rFonts w:asciiTheme="majorHAnsi" w:hAnsiTheme="majorHAnsi" w:cstheme="majorHAnsi"/>
                <w:sz w:val="16"/>
                <w:szCs w:val="16"/>
              </w:rPr>
              <w:t>Wartość netto</w:t>
            </w:r>
          </w:p>
        </w:tc>
        <w:tc>
          <w:tcPr>
            <w:tcW w:w="123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3C71A3" w:rsidRPr="00F46312" w:rsidRDefault="003C71A3" w:rsidP="003C71A3">
            <w:pPr>
              <w:spacing w:line="360" w:lineRule="auto"/>
              <w:jc w:val="center"/>
              <w:rPr>
                <w:rFonts w:asciiTheme="majorHAnsi" w:hAnsiTheme="majorHAnsi" w:cstheme="majorHAnsi"/>
                <w:sz w:val="16"/>
                <w:szCs w:val="16"/>
              </w:rPr>
            </w:pPr>
            <w:r w:rsidRPr="00F46312">
              <w:rPr>
                <w:rFonts w:asciiTheme="majorHAnsi" w:hAnsiTheme="majorHAnsi" w:cstheme="majorHAnsi"/>
                <w:sz w:val="16"/>
                <w:szCs w:val="16"/>
              </w:rPr>
              <w:t>VAT %</w:t>
            </w:r>
          </w:p>
        </w:tc>
        <w:tc>
          <w:tcPr>
            <w:tcW w:w="123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3C71A3" w:rsidRPr="00F46312" w:rsidRDefault="003C71A3" w:rsidP="003C71A3">
            <w:pPr>
              <w:spacing w:line="360" w:lineRule="auto"/>
              <w:jc w:val="center"/>
              <w:rPr>
                <w:rFonts w:asciiTheme="majorHAnsi" w:hAnsiTheme="majorHAnsi" w:cstheme="majorHAnsi"/>
                <w:sz w:val="16"/>
                <w:szCs w:val="16"/>
              </w:rPr>
            </w:pPr>
            <w:r w:rsidRPr="00F46312">
              <w:rPr>
                <w:rFonts w:asciiTheme="majorHAnsi" w:hAnsiTheme="majorHAnsi" w:cstheme="majorHAnsi"/>
                <w:sz w:val="16"/>
                <w:szCs w:val="16"/>
              </w:rPr>
              <w:t>Wartość brutto</w:t>
            </w:r>
          </w:p>
        </w:tc>
        <w:tc>
          <w:tcPr>
            <w:tcW w:w="155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3C71A3" w:rsidRPr="00F46312" w:rsidRDefault="003C71A3" w:rsidP="003C71A3">
            <w:pPr>
              <w:spacing w:line="360" w:lineRule="auto"/>
              <w:jc w:val="center"/>
              <w:rPr>
                <w:rFonts w:asciiTheme="majorHAnsi" w:hAnsiTheme="majorHAnsi" w:cstheme="majorHAnsi"/>
                <w:sz w:val="16"/>
                <w:szCs w:val="16"/>
              </w:rPr>
            </w:pPr>
            <w:r w:rsidRPr="00F46312">
              <w:rPr>
                <w:rFonts w:asciiTheme="majorHAnsi" w:hAnsiTheme="majorHAnsi" w:cstheme="majorHAnsi"/>
                <w:sz w:val="16"/>
                <w:szCs w:val="16"/>
              </w:rPr>
              <w:t>Nr katalogowy/ nazwa producenta</w:t>
            </w:r>
          </w:p>
        </w:tc>
      </w:tr>
      <w:tr w:rsidR="003C71A3" w:rsidRPr="003C71A3" w:rsidTr="003C71A3">
        <w:trPr>
          <w:trHeight w:val="1455"/>
        </w:trPr>
        <w:tc>
          <w:tcPr>
            <w:tcW w:w="568"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1</w:t>
            </w:r>
          </w:p>
        </w:tc>
        <w:tc>
          <w:tcPr>
            <w:tcW w:w="2126" w:type="dxa"/>
            <w:hideMark/>
          </w:tcPr>
          <w:p w:rsidR="003C71A3" w:rsidRPr="003C71A3" w:rsidRDefault="003C71A3" w:rsidP="003C71A3">
            <w:pPr>
              <w:rPr>
                <w:rFonts w:asciiTheme="majorHAnsi" w:hAnsiTheme="majorHAnsi" w:cstheme="majorHAnsi"/>
                <w:sz w:val="16"/>
                <w:szCs w:val="16"/>
                <w:lang w:val="en-US"/>
              </w:rPr>
            </w:pPr>
            <w:r w:rsidRPr="003C71A3">
              <w:rPr>
                <w:rFonts w:asciiTheme="majorHAnsi" w:hAnsiTheme="majorHAnsi" w:cstheme="majorHAnsi"/>
                <w:sz w:val="16"/>
                <w:szCs w:val="16"/>
                <w:lang w:val="en-US"/>
              </w:rPr>
              <w:t xml:space="preserve">ABgene Storage Plate, 96-well, 2.2 mL   </w:t>
            </w:r>
          </w:p>
        </w:tc>
        <w:tc>
          <w:tcPr>
            <w:tcW w:w="3119"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xml:space="preserve">ABgene Storage Plate, 96-well, 2.2 mL; Numer Katalogowy AB0661 (Firmy ThermoFisher) lub równoważne; równoważność oznacza spełnienie wszystkich poniższych wymagań opisanych przez zamawiającego oraz zawartych pod wymienionym powyżej numerem katalogowym. Płytki 96-dołkowe polipropylenowe DeepWell™ o pojemności 2,2 ml do procesowania i przechowywania próbek. Wykonane z żywicy polipropylenowej klasy medycznej. Dno w kształcie litery U ułatwiające ponowne zawieszanie i optymalne odzyskiwanie próbek.                                                                                                                                                            Wskazany powyżej nr katalogowy  jest rekomendowanym materiałem zużywalnym  przez producenta stacji  do zastosowania na stacji pipetującej Biomek i-7 dla zaimplementowanych protokołów. Obecnie posiadana przez Zamawiającego ww. stacja jest na okresie gwarancji (60 miesięcy licząc od dnia 14.09.2022).  Korzystanie z materiałów zużywalnych innych niż rekomendowane przez producenta stacji skutkować może awarią/ niepoprawnym działaniem stacji Biomek i7 i utratą gwarancji firmy Beckman Coulter Life Sciences. </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W przypadku dostarczenia produktów równoważnych zamawiający wymaga dostarczenia próbek w ilości 4 płytki. W przypadku dostarczenia produktów równoważnych Wykonawca ponosi koszty:</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aktualizacji metod przez firmę Beckman Coulter Life Sciences wgranych na robota oraz koszt odczynników wykorzystanych do walidacji metody (biblioteki Agilent SureSelect XT HS2 Custom panel dla min. 24 prób),</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lastRenderedPageBreak/>
              <w:t>- koszty naprawy uszkodzonego  urządzenia w skutek użycia innych materiałów zużywalnych niż rekomendowane przez producenta aparatu a określone przez Zmawiającego pod postacią nr katalogowego powyżej,</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koszty utrzymania gwarancji w okresie gwarancyjnym podanym powyżej</w:t>
            </w:r>
          </w:p>
        </w:tc>
        <w:tc>
          <w:tcPr>
            <w:tcW w:w="1055"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lastRenderedPageBreak/>
              <w:t>50 szt/ 1 op.</w:t>
            </w:r>
          </w:p>
        </w:tc>
        <w:tc>
          <w:tcPr>
            <w:tcW w:w="1255"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4</w:t>
            </w: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550" w:type="dxa"/>
          </w:tcPr>
          <w:p w:rsidR="003C71A3" w:rsidRPr="003C71A3" w:rsidRDefault="003C71A3" w:rsidP="003C71A3">
            <w:pPr>
              <w:rPr>
                <w:rFonts w:asciiTheme="majorHAnsi" w:hAnsiTheme="majorHAnsi" w:cstheme="majorHAnsi"/>
                <w:sz w:val="16"/>
                <w:szCs w:val="16"/>
              </w:rPr>
            </w:pPr>
          </w:p>
        </w:tc>
      </w:tr>
      <w:tr w:rsidR="003C71A3" w:rsidRPr="003C71A3" w:rsidTr="003C71A3">
        <w:trPr>
          <w:trHeight w:val="1695"/>
        </w:trPr>
        <w:tc>
          <w:tcPr>
            <w:tcW w:w="568"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2</w:t>
            </w:r>
          </w:p>
        </w:tc>
        <w:tc>
          <w:tcPr>
            <w:tcW w:w="2126" w:type="dxa"/>
            <w:hideMark/>
          </w:tcPr>
          <w:p w:rsidR="003C71A3" w:rsidRPr="003C71A3" w:rsidRDefault="003C71A3" w:rsidP="003C71A3">
            <w:pPr>
              <w:rPr>
                <w:rFonts w:asciiTheme="majorHAnsi" w:hAnsiTheme="majorHAnsi" w:cstheme="majorHAnsi"/>
                <w:sz w:val="16"/>
                <w:szCs w:val="16"/>
                <w:lang w:val="en-US"/>
              </w:rPr>
            </w:pPr>
            <w:r w:rsidRPr="003C71A3">
              <w:rPr>
                <w:rFonts w:asciiTheme="majorHAnsi" w:hAnsiTheme="majorHAnsi" w:cstheme="majorHAnsi"/>
                <w:sz w:val="16"/>
                <w:szCs w:val="16"/>
                <w:lang w:val="en-US"/>
              </w:rPr>
              <w:t xml:space="preserve">Abgene Storage Plate, 96-well, 1.2 mL   </w:t>
            </w:r>
          </w:p>
        </w:tc>
        <w:tc>
          <w:tcPr>
            <w:tcW w:w="3119"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xml:space="preserve">Abgene Storage Plate, 96-well, 1.2 mL; Numer Katalogowy AB1127  (Firmy ThermoFisher) lub równoważne; równoważność oznacza spełnienie wszystkich poniższych wymagań opisanych przez zamawiającego oraz zawartych pod wymienionym powyżej numerem katalogowym. Płytki 96-dołkowe polipropylenowe DeepWell™ do procesowania i przechowywania próbek. Umożliwiające przygotowywanie bibliotek genomicznych i NGS. Wolne od RNazy, DNazy, inhibitorów PCR, wolne od ludzkiego DNA, maksymalna objętość dołka 1,2 ml/ objętość robocza 1000 ul. Płytki o stożkowatym dnie, studzienki ułatwiające pobieranie próbek, odporne na DMSO, etanol oraz izopropanol.                                                                                                           Wskazany powyżej nr katalogowy  jest rekomendowanym materiałem zużywalnym  przez producenta stacji  do zastosowania na stacji pipetującej Biomek i-7 dla zaimplementowanych protokołów. Obecnie posiadana przez Zamawiającego ww. stacja jest na okresie gwarancji (60 miesięcy licząc od dnia 14.09.2022).  Korzystanie z materiałów zużywalnych innych niż rekomendowane przez producenta stacji skutkować może awarią/ niepoprawnym działaniem stacji Biomek i7 i utratą gwarancji firmy Beckman Coulter Life Sciences. </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W przypadku dostarczenia produktów równoważnych zamawiający wymaga dostarczenia próbek w ilości 4 płytki. W przypadku dostarczenia produktów równoważnych Wykonawca ponosi koszty:</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xml:space="preserve">- aktualizacji metod przez firmę Beckman Coulter Life Sciences wgranych na robota </w:t>
            </w:r>
            <w:r w:rsidRPr="003C71A3">
              <w:rPr>
                <w:rFonts w:asciiTheme="majorHAnsi" w:hAnsiTheme="majorHAnsi" w:cstheme="majorHAnsi"/>
                <w:sz w:val="16"/>
                <w:szCs w:val="16"/>
              </w:rPr>
              <w:lastRenderedPageBreak/>
              <w:t>oraz koszt odczynników wykorzystanych do walidacji metody (biblioteki Agilent SureSelect XT HS2 Custom panel dla min. 24 prób),</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koszty naprawy uszkodzonego  urządzenia w skutek użycia innych materiałów zużywalnych niż rekomendowane przez producenta aparatu a określone przez Zmawiającego pod postacią nr katalogowego powyżej,</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koszty utrzymania gwarancji w okresie gwarancyjnym podanym powyżej</w:t>
            </w:r>
          </w:p>
        </w:tc>
        <w:tc>
          <w:tcPr>
            <w:tcW w:w="1055"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lastRenderedPageBreak/>
              <w:t>50 szt/ 1 op.</w:t>
            </w:r>
          </w:p>
        </w:tc>
        <w:tc>
          <w:tcPr>
            <w:tcW w:w="1255"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4</w:t>
            </w: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550" w:type="dxa"/>
          </w:tcPr>
          <w:p w:rsidR="003C71A3" w:rsidRPr="003C71A3" w:rsidRDefault="003C71A3" w:rsidP="003C71A3">
            <w:pPr>
              <w:rPr>
                <w:rFonts w:asciiTheme="majorHAnsi" w:hAnsiTheme="majorHAnsi" w:cstheme="majorHAnsi"/>
                <w:sz w:val="16"/>
                <w:szCs w:val="16"/>
              </w:rPr>
            </w:pPr>
          </w:p>
        </w:tc>
      </w:tr>
      <w:tr w:rsidR="003C71A3" w:rsidRPr="003C71A3" w:rsidTr="003C71A3">
        <w:trPr>
          <w:trHeight w:val="1215"/>
        </w:trPr>
        <w:tc>
          <w:tcPr>
            <w:tcW w:w="568"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3</w:t>
            </w:r>
          </w:p>
        </w:tc>
        <w:tc>
          <w:tcPr>
            <w:tcW w:w="2126" w:type="dxa"/>
            <w:hideMark/>
          </w:tcPr>
          <w:p w:rsidR="003C71A3" w:rsidRPr="003C71A3" w:rsidRDefault="003C71A3" w:rsidP="003C71A3">
            <w:pPr>
              <w:rPr>
                <w:rFonts w:asciiTheme="majorHAnsi" w:hAnsiTheme="majorHAnsi" w:cstheme="majorHAnsi"/>
                <w:sz w:val="16"/>
                <w:szCs w:val="16"/>
                <w:lang w:val="en-US"/>
              </w:rPr>
            </w:pPr>
            <w:r w:rsidRPr="003C71A3">
              <w:rPr>
                <w:rFonts w:asciiTheme="majorHAnsi" w:hAnsiTheme="majorHAnsi" w:cstheme="majorHAnsi"/>
                <w:sz w:val="16"/>
                <w:szCs w:val="16"/>
                <w:lang w:val="en-US"/>
              </w:rPr>
              <w:t xml:space="preserve">ABgene Storage Plate, 96-well, 0.8 mL, individually wrapped                                  </w:t>
            </w:r>
          </w:p>
        </w:tc>
        <w:tc>
          <w:tcPr>
            <w:tcW w:w="3119"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xml:space="preserve">Abgene Storage Plate, 96-well, 1.2 mL; Numer Katalogowy AB1127 (Firmy ThermoFisher) lub równoważne; równoważność oznacza spełnienie wszystkich poniższych wymagań opisanych przez zamawiającego oraz zawartych pod wymienionym powyżej numerem katalogowym. Płytki 96-dołkowe polipropylenowe DeepWell™ do procesowania i przechowywania próbek. Umożliwiające przygotowywanie bibliotek genomicznych i NGS. Wolne od RNazy, DNazy, inhibitorów PCR, wolne od ludzkiego DNA, maksymalna objętość dołka 1,2 ml/ objętość robocza 1000 ul. Płytki o stożkowatym dnie, studzienki ułatwiające pobieranie próbek, odporne na DMSO, etanol oraz izopropanol.                                                                                                           Wskazany powyżej nr katalogowy  jest rekomendowanym materiałem zużywalnym  przez producenta stacji  do zastosowania na stacji pipetującej Biomek i-7 dla zaimplementowanych protokołów. Obecnie posiadana przez Zamawiającego ww. stacja jest na okresie gwarancji (60 miesięcy licząc od dnia 14.09.2022).  Korzystanie z materiałów zużywalnych innych niż rekomendowane przez producenta stacji skutkować może awarią/ niepoprawnym działaniem stacji Biomek i7 i utratą gwarancji firmy Beckman Coulter Life Sciences. </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xml:space="preserve">W przypadku dostarczenia produktów równoważnych zamawiający wymaga dostarczenia próbek w ilości 4 płytki. W </w:t>
            </w:r>
            <w:r w:rsidRPr="003C71A3">
              <w:rPr>
                <w:rFonts w:asciiTheme="majorHAnsi" w:hAnsiTheme="majorHAnsi" w:cstheme="majorHAnsi"/>
                <w:sz w:val="16"/>
                <w:szCs w:val="16"/>
              </w:rPr>
              <w:lastRenderedPageBreak/>
              <w:t>przypadku dostarczenia produktów równoważnych Wykonawca ponosi koszty:</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aktualizacji metod przez firmę Beckman Coulter Life Sciences wgranych na robota oraz koszt odczynników wykorzystanych do walidacji metody (biblioteki Agilent SureSelect XT HS2 Custom panel dla min. 24 prób),</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koszty naprawy uszkodzonego  urządzenia w skutek użycia innych materiałów zużywalnych niż rekomendowane przez producenta aparatu a określone przez Zmawiającego pod postacią nr katalogowego powyżej,</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koszty utrzymania gwarancji w okresie gwarancyjnym podanym powyżej</w:t>
            </w:r>
          </w:p>
        </w:tc>
        <w:tc>
          <w:tcPr>
            <w:tcW w:w="1055"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lastRenderedPageBreak/>
              <w:t>50 szt/ 1 op.</w:t>
            </w:r>
          </w:p>
        </w:tc>
        <w:tc>
          <w:tcPr>
            <w:tcW w:w="1255"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16</w:t>
            </w: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550" w:type="dxa"/>
          </w:tcPr>
          <w:p w:rsidR="003C71A3" w:rsidRPr="003C71A3" w:rsidRDefault="003C71A3" w:rsidP="003C71A3">
            <w:pPr>
              <w:rPr>
                <w:rFonts w:asciiTheme="majorHAnsi" w:hAnsiTheme="majorHAnsi" w:cstheme="majorHAnsi"/>
                <w:sz w:val="16"/>
                <w:szCs w:val="16"/>
              </w:rPr>
            </w:pPr>
          </w:p>
        </w:tc>
      </w:tr>
      <w:tr w:rsidR="003C71A3" w:rsidRPr="003C71A3" w:rsidTr="003C71A3">
        <w:trPr>
          <w:trHeight w:val="1410"/>
        </w:trPr>
        <w:tc>
          <w:tcPr>
            <w:tcW w:w="568"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4</w:t>
            </w:r>
          </w:p>
        </w:tc>
        <w:tc>
          <w:tcPr>
            <w:tcW w:w="2126"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xml:space="preserve">Thermo Nunc™ Microplate Lids          </w:t>
            </w:r>
          </w:p>
        </w:tc>
        <w:tc>
          <w:tcPr>
            <w:tcW w:w="3119"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xml:space="preserve">Thermo Nunc™ Microplate Lids; Numer Katalogowy 250003 (Firmy ThermoFisher) lub równoważne; równoważność oznacza spełnienie wszystkich poniższych wymagań opisanych przez zamawiającego oraz zawartych pod wymienionym powyżej numerem katalogowym. Pokrywy nadają się do stosowania z dowolnymi standardowymi płytkami 96 dołkowymi, posiadające indywidualne pierścienie kondensacyjne. Pokrywki mające wycięcia ułatwiające szybką orientację.                                                                   Wskazany powyżej nr katalogowy  jest rekomendowanym materiałem zużywalnym  przez producenta stacji  do zastosowania na stacji pipetującej Biomek i-7 dla zaimplementowanych protokołów. Obecnie posiadana przez Zamawiającego ww. stacja jest na okresie gwarancji (60 miesięcy licząc od dnia 14.09.2022).  Korzystanie z materiałów zużywalnych innych niż rekomendowane przez producenta stacji skutkować może awarią/ niepoprawnym działaniem stacji Biomek i7 i utratą gwarancji firmy Beckman Coulter Life Sciences. </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W przypadku dostarczenia produktów równoważnych zamawiający wymaga dostarczenia próbek w ilości 4 pokrywy. W przypadku dostarczenia produktów równoważnych Wykonawca ponosi koszty:</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lastRenderedPageBreak/>
              <w:t>- aktualizacji metod przez firmę Beckman Coulter Life Sciences wgranych na robota oraz koszt odczynników wykorzystanych do walidacji metody (biblioteki Agilent SureSelect XT HS2 Custom panel dla min. 24 prób),</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koszty naprawy uszkodzonego  urządzenia w skutek użycia innych materiałów zużywalnych niż rekomendowane przez producenta aparatu a określone przez Zmawiającego pod postacią nr katalogowego powyżej,</w:t>
            </w:r>
          </w:p>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 koszty utrzymania gwarancji w okresie gwarancyjnym podanym powyżej</w:t>
            </w:r>
          </w:p>
        </w:tc>
        <w:tc>
          <w:tcPr>
            <w:tcW w:w="1055"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lastRenderedPageBreak/>
              <w:t>60 szt/ 1 op.</w:t>
            </w:r>
          </w:p>
        </w:tc>
        <w:tc>
          <w:tcPr>
            <w:tcW w:w="1255" w:type="dxa"/>
            <w:hideMark/>
          </w:tcPr>
          <w:p w:rsidR="003C71A3" w:rsidRPr="003C71A3" w:rsidRDefault="003C71A3" w:rsidP="003C71A3">
            <w:pPr>
              <w:rPr>
                <w:rFonts w:asciiTheme="majorHAnsi" w:hAnsiTheme="majorHAnsi" w:cstheme="majorHAnsi"/>
                <w:sz w:val="16"/>
                <w:szCs w:val="16"/>
              </w:rPr>
            </w:pPr>
            <w:r w:rsidRPr="003C71A3">
              <w:rPr>
                <w:rFonts w:asciiTheme="majorHAnsi" w:hAnsiTheme="majorHAnsi" w:cstheme="majorHAnsi"/>
                <w:sz w:val="16"/>
                <w:szCs w:val="16"/>
              </w:rPr>
              <w:t>8</w:t>
            </w: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232" w:type="dxa"/>
          </w:tcPr>
          <w:p w:rsidR="003C71A3" w:rsidRPr="003C71A3" w:rsidRDefault="003C71A3" w:rsidP="003C71A3">
            <w:pPr>
              <w:rPr>
                <w:rFonts w:asciiTheme="majorHAnsi" w:hAnsiTheme="majorHAnsi" w:cstheme="majorHAnsi"/>
                <w:sz w:val="16"/>
                <w:szCs w:val="16"/>
              </w:rPr>
            </w:pPr>
          </w:p>
        </w:tc>
        <w:tc>
          <w:tcPr>
            <w:tcW w:w="1550" w:type="dxa"/>
          </w:tcPr>
          <w:p w:rsidR="003C71A3" w:rsidRPr="003C71A3" w:rsidRDefault="003C71A3" w:rsidP="003C71A3">
            <w:pPr>
              <w:rPr>
                <w:rFonts w:asciiTheme="majorHAnsi" w:hAnsiTheme="majorHAnsi" w:cstheme="majorHAnsi"/>
                <w:sz w:val="16"/>
                <w:szCs w:val="16"/>
              </w:rPr>
            </w:pPr>
          </w:p>
        </w:tc>
      </w:tr>
    </w:tbl>
    <w:p w:rsidR="000B0F6E" w:rsidRDefault="000B0F6E" w:rsidP="000B0F6E">
      <w:pPr>
        <w:rPr>
          <w:rFonts w:cstheme="minorHAnsi"/>
        </w:rPr>
      </w:pPr>
    </w:p>
    <w:p w:rsidR="003C71A3" w:rsidRPr="00F46312" w:rsidRDefault="003C71A3" w:rsidP="003C71A3">
      <w:pPr>
        <w:rPr>
          <w:rFonts w:asciiTheme="majorHAnsi" w:hAnsiTheme="majorHAnsi" w:cstheme="majorHAnsi"/>
          <w:sz w:val="18"/>
          <w:szCs w:val="18"/>
        </w:rPr>
      </w:pPr>
    </w:p>
    <w:p w:rsidR="003C71A3" w:rsidRPr="003E70EF" w:rsidRDefault="003C71A3" w:rsidP="003C71A3">
      <w:pPr>
        <w:numPr>
          <w:ilvl w:val="0"/>
          <w:numId w:val="1"/>
        </w:numPr>
        <w:spacing w:after="0" w:line="240" w:lineRule="auto"/>
        <w:ind w:left="357" w:hanging="357"/>
        <w:rPr>
          <w:rFonts w:ascii="Calibri Light" w:hAnsi="Calibri Light" w:cs="Calibri Light"/>
          <w:color w:val="000000"/>
          <w:sz w:val="16"/>
          <w:szCs w:val="16"/>
        </w:rPr>
      </w:pPr>
      <w:r w:rsidRPr="003E70EF">
        <w:rPr>
          <w:rFonts w:ascii="Calibri Light" w:hAnsi="Calibri Light" w:cs="Calibri Light"/>
          <w:color w:val="000000"/>
          <w:sz w:val="16"/>
          <w:szCs w:val="16"/>
        </w:rPr>
        <w:t>Składam ofertę na wykonanie przedmiotu zamówienia w zakresie określonym powyżej na kwotę:</w:t>
      </w:r>
    </w:p>
    <w:p w:rsidR="003C71A3" w:rsidRPr="003E70EF" w:rsidRDefault="003C71A3" w:rsidP="003C71A3">
      <w:pPr>
        <w:tabs>
          <w:tab w:val="left" w:pos="426"/>
        </w:tabs>
        <w:rPr>
          <w:rFonts w:ascii="Calibri Light" w:eastAsia="Calibri" w:hAnsi="Calibri Light" w:cs="Calibri Light"/>
          <w:b/>
          <w:color w:val="000000"/>
          <w:sz w:val="16"/>
          <w:szCs w:val="16"/>
        </w:rPr>
      </w:pPr>
      <w:r w:rsidRPr="003E70EF">
        <w:rPr>
          <w:rFonts w:ascii="Calibri Light" w:eastAsia="Calibri" w:hAnsi="Calibri Light" w:cs="Calibri Light"/>
          <w:b/>
          <w:color w:val="000000"/>
          <w:sz w:val="16"/>
          <w:szCs w:val="16"/>
        </w:rPr>
        <w:t xml:space="preserve">                 BRUTTO: ……………………………… PLN słownie: …………………………………………………………………………..…………………..….………… PLN</w:t>
      </w:r>
    </w:p>
    <w:p w:rsidR="003C71A3" w:rsidRPr="003E70EF" w:rsidRDefault="003C71A3" w:rsidP="003C71A3">
      <w:pPr>
        <w:tabs>
          <w:tab w:val="left" w:pos="426"/>
        </w:tabs>
        <w:rPr>
          <w:rFonts w:ascii="Calibri Light" w:eastAsia="Calibri" w:hAnsi="Calibri Light" w:cs="Calibri Light"/>
          <w:b/>
          <w:color w:val="000000"/>
          <w:sz w:val="16"/>
          <w:szCs w:val="16"/>
        </w:rPr>
      </w:pPr>
      <w:r w:rsidRPr="003E70EF">
        <w:rPr>
          <w:rFonts w:ascii="Calibri Light" w:eastAsia="Calibri" w:hAnsi="Calibri Light" w:cs="Calibri Light"/>
          <w:b/>
          <w:color w:val="000000"/>
          <w:sz w:val="16"/>
          <w:szCs w:val="16"/>
        </w:rPr>
        <w:t xml:space="preserve">                 NETTO:</w:t>
      </w:r>
      <w:r w:rsidRPr="003E70EF">
        <w:rPr>
          <w:rFonts w:ascii="Calibri Light" w:eastAsia="Calibri" w:hAnsi="Calibri Light" w:cs="Calibri Light"/>
          <w:color w:val="000000"/>
          <w:sz w:val="16"/>
          <w:szCs w:val="16"/>
        </w:rPr>
        <w:t xml:space="preserve">    </w:t>
      </w:r>
      <w:r w:rsidRPr="003E70EF">
        <w:rPr>
          <w:rFonts w:ascii="Calibri Light" w:eastAsia="Calibri" w:hAnsi="Calibri Light" w:cs="Calibri Light"/>
          <w:b/>
          <w:color w:val="000000"/>
          <w:sz w:val="16"/>
          <w:szCs w:val="16"/>
        </w:rPr>
        <w:t>……………………………… PLN słownie: …………………………………………………………………………..…………………..….………… PLN</w:t>
      </w:r>
    </w:p>
    <w:p w:rsidR="003C71A3" w:rsidRPr="003E70EF" w:rsidRDefault="003C71A3" w:rsidP="003C71A3">
      <w:pPr>
        <w:numPr>
          <w:ilvl w:val="0"/>
          <w:numId w:val="1"/>
        </w:numPr>
        <w:spacing w:after="0" w:line="240" w:lineRule="auto"/>
        <w:ind w:left="357" w:hanging="357"/>
        <w:rPr>
          <w:rFonts w:ascii="Calibri Light" w:hAnsi="Calibri Light" w:cs="Calibri Light"/>
          <w:color w:val="000000"/>
          <w:sz w:val="16"/>
          <w:szCs w:val="16"/>
        </w:rPr>
      </w:pPr>
      <w:r w:rsidRPr="003E70EF">
        <w:rPr>
          <w:rFonts w:ascii="Calibri Light" w:hAnsi="Calibri Light" w:cs="Calibri Light"/>
          <w:color w:val="000000"/>
          <w:sz w:val="16"/>
          <w:szCs w:val="16"/>
        </w:rPr>
        <w:t xml:space="preserve">Oświadczam, że uważam się za związanego niniejszą ofertą na okres …………….. ( min. 30 dni ) licząc od daty wyznaczonej jako termin składania ofert.  </w:t>
      </w:r>
    </w:p>
    <w:p w:rsidR="003C71A3" w:rsidRPr="003E70EF" w:rsidRDefault="003C71A3" w:rsidP="003C71A3">
      <w:pPr>
        <w:numPr>
          <w:ilvl w:val="0"/>
          <w:numId w:val="1"/>
        </w:numPr>
        <w:spacing w:after="0" w:line="240" w:lineRule="auto"/>
        <w:ind w:left="357" w:hanging="357"/>
        <w:contextualSpacing/>
        <w:rPr>
          <w:rFonts w:ascii="Calibri Light" w:eastAsia="Calibri" w:hAnsi="Calibri Light" w:cs="Calibri Light"/>
          <w:bCs/>
          <w:iCs/>
          <w:color w:val="000000"/>
          <w:kern w:val="2"/>
          <w:sz w:val="16"/>
          <w:szCs w:val="16"/>
          <w:lang w:eastAsia="ar-SA"/>
        </w:rPr>
      </w:pPr>
      <w:r w:rsidRPr="003E70EF">
        <w:rPr>
          <w:rFonts w:ascii="Calibri Light" w:eastAsia="Calibri" w:hAnsi="Calibri Light" w:cs="Calibri Light"/>
          <w:color w:val="000000"/>
          <w:sz w:val="16"/>
          <w:szCs w:val="16"/>
        </w:rPr>
        <w:t>Termin płatności: 30 dni licząc od daty dostarczenia Zamawiającemu prawidłowo wystawionej faktury.</w:t>
      </w:r>
    </w:p>
    <w:p w:rsidR="003C71A3" w:rsidRPr="003E70EF" w:rsidRDefault="003C71A3" w:rsidP="003C71A3">
      <w:pPr>
        <w:numPr>
          <w:ilvl w:val="0"/>
          <w:numId w:val="1"/>
        </w:numPr>
        <w:spacing w:after="0" w:line="240" w:lineRule="auto"/>
        <w:ind w:left="357" w:hanging="357"/>
        <w:contextualSpacing/>
        <w:rPr>
          <w:rFonts w:ascii="Calibri Light" w:eastAsia="Calibri" w:hAnsi="Calibri Light" w:cs="Calibri Light"/>
          <w:bCs/>
          <w:iCs/>
          <w:color w:val="000000"/>
          <w:kern w:val="2"/>
          <w:sz w:val="16"/>
          <w:szCs w:val="16"/>
          <w:lang w:eastAsia="ar-SA"/>
        </w:rPr>
      </w:pPr>
      <w:r w:rsidRPr="003E70EF">
        <w:rPr>
          <w:rFonts w:ascii="Calibri Light" w:eastAsia="Calibri" w:hAnsi="Calibri Light" w:cs="Calibri Light"/>
          <w:color w:val="000000"/>
          <w:sz w:val="16"/>
          <w:szCs w:val="16"/>
        </w:rPr>
        <w:t xml:space="preserve">Termin realizacji /dostawy: zobowiązuję się do wykonywania dostaw sukcesywnych w terminie maksymalnie </w:t>
      </w:r>
      <w:r w:rsidRPr="003E70EF">
        <w:rPr>
          <w:rFonts w:ascii="Calibri Light" w:eastAsia="Calibri" w:hAnsi="Calibri Light" w:cs="Calibri Light"/>
          <w:b/>
          <w:color w:val="000000"/>
          <w:sz w:val="16"/>
          <w:szCs w:val="16"/>
        </w:rPr>
        <w:t xml:space="preserve">do………..dni roboczych, </w:t>
      </w:r>
      <w:r w:rsidRPr="003E70EF">
        <w:rPr>
          <w:rFonts w:ascii="Calibri Light" w:eastAsia="Calibri" w:hAnsi="Calibri Light" w:cs="Calibri Light"/>
          <w:color w:val="000000"/>
          <w:sz w:val="16"/>
          <w:szCs w:val="16"/>
        </w:rPr>
        <w:t>na podstawie składa</w:t>
      </w:r>
      <w:r w:rsidRPr="003E70EF">
        <w:rPr>
          <w:rFonts w:ascii="Calibri Light" w:eastAsia="Calibri" w:hAnsi="Calibri Light" w:cs="Calibri Light"/>
          <w:color w:val="000000"/>
          <w:sz w:val="16"/>
          <w:szCs w:val="16"/>
        </w:rPr>
        <w:softHyphen/>
        <w:t>nych przez Zamawiają</w:t>
      </w:r>
      <w:r w:rsidRPr="003E70EF">
        <w:rPr>
          <w:rFonts w:ascii="Calibri Light" w:eastAsia="Calibri" w:hAnsi="Calibri Light" w:cs="Calibri Light"/>
          <w:color w:val="000000"/>
          <w:sz w:val="16"/>
          <w:szCs w:val="16"/>
        </w:rPr>
        <w:softHyphen/>
        <w:t xml:space="preserve">cego zamówień ilościowo-asortymentowych, licząc bieg terminu od dnia otrzymania zamówienia Zamawiającego),  </w:t>
      </w:r>
    </w:p>
    <w:p w:rsidR="003C71A3" w:rsidRPr="003E70EF" w:rsidRDefault="003C71A3" w:rsidP="003C71A3">
      <w:pPr>
        <w:numPr>
          <w:ilvl w:val="0"/>
          <w:numId w:val="1"/>
        </w:numPr>
        <w:spacing w:after="0" w:line="240" w:lineRule="auto"/>
        <w:ind w:left="357" w:hanging="357"/>
        <w:contextualSpacing/>
        <w:rPr>
          <w:rFonts w:ascii="Calibri Light" w:eastAsia="Calibri" w:hAnsi="Calibri Light" w:cs="Calibri Light"/>
          <w:bCs/>
          <w:iCs/>
          <w:color w:val="000000"/>
          <w:kern w:val="2"/>
          <w:sz w:val="16"/>
          <w:szCs w:val="16"/>
          <w:lang w:eastAsia="ar-SA"/>
        </w:rPr>
      </w:pPr>
      <w:r w:rsidRPr="003E70EF">
        <w:rPr>
          <w:rFonts w:ascii="Calibri Light" w:hAnsi="Calibri Light" w:cs="Calibri Light"/>
          <w:color w:val="000000"/>
          <w:sz w:val="16"/>
          <w:szCs w:val="16"/>
        </w:rPr>
        <w:t>Oświadczam, że termin gwarancji/ przydatności na dostarczony asortyment wynosi …………. miesięcy liczony od dnia odbioru asortymentu przez Zamawiającego.</w:t>
      </w:r>
    </w:p>
    <w:p w:rsidR="003C71A3" w:rsidRPr="003E70EF" w:rsidRDefault="003C71A3" w:rsidP="003C71A3">
      <w:pPr>
        <w:rPr>
          <w:rFonts w:ascii="Calibri Light" w:hAnsi="Calibri Light" w:cs="Calibri Light"/>
          <w:sz w:val="16"/>
          <w:szCs w:val="16"/>
        </w:rPr>
      </w:pPr>
    </w:p>
    <w:p w:rsidR="003C71A3" w:rsidRPr="003E70EF" w:rsidRDefault="003C71A3" w:rsidP="003C71A3">
      <w:pPr>
        <w:ind w:left="8475" w:hanging="229"/>
        <w:jc w:val="center"/>
        <w:rPr>
          <w:rFonts w:cs="Calibri"/>
          <w:sz w:val="16"/>
          <w:szCs w:val="16"/>
        </w:rPr>
      </w:pPr>
    </w:p>
    <w:p w:rsidR="003C71A3" w:rsidRPr="003E70EF" w:rsidRDefault="003C71A3" w:rsidP="003C71A3">
      <w:pPr>
        <w:rPr>
          <w:rFonts w:ascii="Arial" w:hAnsi="Arial" w:cs="Arial"/>
          <w:b/>
          <w:sz w:val="16"/>
          <w:szCs w:val="16"/>
        </w:rPr>
      </w:pPr>
    </w:p>
    <w:p w:rsidR="003C71A3" w:rsidRPr="003C71A3" w:rsidRDefault="003C71A3" w:rsidP="003C71A3">
      <w:pPr>
        <w:tabs>
          <w:tab w:val="left" w:pos="5970"/>
        </w:tabs>
        <w:rPr>
          <w:rFonts w:ascii="Calibri Light" w:hAnsi="Calibri Light" w:cs="Calibri Light"/>
          <w:b/>
          <w:sz w:val="16"/>
          <w:szCs w:val="16"/>
        </w:rPr>
      </w:pPr>
      <w:r w:rsidRPr="003E70EF">
        <w:rPr>
          <w:rFonts w:ascii="Calibri Light" w:hAnsi="Calibri Light" w:cs="Calibri Light"/>
          <w:b/>
          <w:sz w:val="16"/>
          <w:szCs w:val="16"/>
        </w:rPr>
        <w:t xml:space="preserve">data................................... </w:t>
      </w:r>
      <w:r>
        <w:rPr>
          <w:rFonts w:ascii="Calibri Light" w:hAnsi="Calibri Light" w:cs="Calibri Light"/>
          <w:b/>
          <w:sz w:val="16"/>
          <w:szCs w:val="16"/>
        </w:rPr>
        <w:tab/>
      </w:r>
      <w:r>
        <w:rPr>
          <w:rFonts w:ascii="Calibri Light" w:hAnsi="Calibri Light" w:cs="Calibri Light"/>
          <w:b/>
          <w:sz w:val="16"/>
          <w:szCs w:val="16"/>
        </w:rPr>
        <w:tab/>
      </w:r>
      <w:r>
        <w:rPr>
          <w:rFonts w:ascii="Calibri Light" w:hAnsi="Calibri Light" w:cs="Calibri Light"/>
          <w:b/>
          <w:sz w:val="16"/>
          <w:szCs w:val="16"/>
        </w:rPr>
        <w:tab/>
      </w:r>
      <w:r>
        <w:rPr>
          <w:rFonts w:ascii="Calibri Light" w:hAnsi="Calibri Light" w:cs="Calibri Light"/>
          <w:b/>
          <w:sz w:val="16"/>
          <w:szCs w:val="16"/>
        </w:rPr>
        <w:tab/>
      </w:r>
      <w:r>
        <w:rPr>
          <w:rFonts w:ascii="Calibri Light" w:hAnsi="Calibri Light" w:cs="Calibri Light"/>
          <w:b/>
          <w:sz w:val="16"/>
          <w:szCs w:val="16"/>
        </w:rPr>
        <w:tab/>
      </w:r>
      <w:r>
        <w:rPr>
          <w:rFonts w:ascii="Calibri Light" w:hAnsi="Calibri Light" w:cs="Calibri Light"/>
          <w:b/>
          <w:sz w:val="16"/>
          <w:szCs w:val="16"/>
        </w:rPr>
        <w:tab/>
      </w:r>
      <w:r w:rsidRPr="003E70EF">
        <w:rPr>
          <w:rFonts w:ascii="Calibri Light" w:hAnsi="Calibri Light" w:cs="Calibri Light"/>
          <w:b/>
          <w:sz w:val="16"/>
          <w:szCs w:val="16"/>
        </w:rPr>
        <w:t>…………………………………………..…………………</w:t>
      </w:r>
      <w:r w:rsidRPr="003E70EF">
        <w:rPr>
          <w:rFonts w:ascii="Calibri Light" w:hAnsi="Calibri Light" w:cs="Calibri Light"/>
          <w:b/>
          <w:iCs/>
          <w:sz w:val="16"/>
          <w:szCs w:val="16"/>
        </w:rPr>
        <w:t xml:space="preserve">                                              </w:t>
      </w:r>
      <w:r w:rsidRPr="003E70EF">
        <w:rPr>
          <w:rFonts w:ascii="Calibri Light" w:hAnsi="Calibri Light" w:cs="Calibri Light"/>
          <w:b/>
          <w:iCs/>
          <w:sz w:val="16"/>
          <w:szCs w:val="16"/>
        </w:rPr>
        <w:tab/>
      </w:r>
      <w:r w:rsidRPr="003E70EF">
        <w:rPr>
          <w:rFonts w:ascii="Calibri Light" w:hAnsi="Calibri Light" w:cs="Calibri Light"/>
          <w:b/>
          <w:iCs/>
          <w:sz w:val="16"/>
          <w:szCs w:val="16"/>
        </w:rPr>
        <w:tab/>
      </w:r>
      <w:r w:rsidRPr="003E70EF">
        <w:rPr>
          <w:rFonts w:ascii="Calibri Light" w:hAnsi="Calibri Light" w:cs="Calibri Light"/>
          <w:b/>
          <w:iCs/>
          <w:sz w:val="16"/>
          <w:szCs w:val="16"/>
        </w:rPr>
        <w:tab/>
      </w:r>
      <w:r w:rsidRPr="003E70EF">
        <w:rPr>
          <w:rFonts w:ascii="Calibri Light" w:hAnsi="Calibri Light" w:cs="Calibri Light"/>
          <w:b/>
          <w:iCs/>
          <w:sz w:val="16"/>
          <w:szCs w:val="16"/>
        </w:rPr>
        <w:tab/>
      </w:r>
      <w:r w:rsidRPr="003E70EF">
        <w:rPr>
          <w:rFonts w:ascii="Calibri Light" w:hAnsi="Calibri Light" w:cs="Calibri Light"/>
          <w:b/>
          <w:iCs/>
          <w:sz w:val="16"/>
          <w:szCs w:val="16"/>
        </w:rPr>
        <w:tab/>
        <w:t xml:space="preserve">     </w:t>
      </w:r>
      <w:r>
        <w:rPr>
          <w:rFonts w:ascii="Calibri Light" w:hAnsi="Calibri Light" w:cs="Calibri Light"/>
          <w:b/>
          <w:iCs/>
          <w:sz w:val="16"/>
          <w:szCs w:val="16"/>
        </w:rPr>
        <w:t xml:space="preserve">                      </w:t>
      </w:r>
      <w:r>
        <w:rPr>
          <w:rFonts w:ascii="Calibri Light" w:hAnsi="Calibri Light" w:cs="Calibri Light"/>
          <w:b/>
          <w:iCs/>
          <w:sz w:val="16"/>
          <w:szCs w:val="16"/>
        </w:rPr>
        <w:tab/>
      </w:r>
      <w:r w:rsidRPr="003E70EF">
        <w:rPr>
          <w:rFonts w:ascii="Calibri Light" w:hAnsi="Calibri Light" w:cs="Calibri Light"/>
          <w:b/>
          <w:iCs/>
          <w:sz w:val="16"/>
          <w:szCs w:val="16"/>
        </w:rPr>
        <w:t>czytelny podpis</w:t>
      </w:r>
      <w:r w:rsidRPr="00C10EBC">
        <w:rPr>
          <w:rFonts w:ascii="Calibri Light" w:hAnsi="Calibri Light" w:cs="Calibri Light"/>
          <w:b/>
          <w:iCs/>
          <w:sz w:val="20"/>
          <w:szCs w:val="20"/>
        </w:rPr>
        <w:t xml:space="preserve">                            </w:t>
      </w:r>
      <w:r w:rsidRPr="00924FC1">
        <w:rPr>
          <w:rFonts w:ascii="Calibri Light" w:hAnsi="Calibri Light" w:cs="Calibri Light"/>
          <w:b/>
          <w:iCs/>
          <w:sz w:val="20"/>
          <w:szCs w:val="20"/>
        </w:rPr>
        <w:tab/>
      </w:r>
      <w:r w:rsidRPr="00924FC1">
        <w:rPr>
          <w:rFonts w:ascii="Calibri Light" w:hAnsi="Calibri Light" w:cs="Calibri Light"/>
          <w:b/>
          <w:iCs/>
          <w:sz w:val="20"/>
          <w:szCs w:val="20"/>
        </w:rPr>
        <w:tab/>
      </w:r>
    </w:p>
    <w:sectPr w:rsidR="003C71A3" w:rsidRPr="003C71A3" w:rsidSect="0070190D">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FB" w:rsidRDefault="005B70FB" w:rsidP="003C71A3">
      <w:pPr>
        <w:spacing w:after="0" w:line="240" w:lineRule="auto"/>
      </w:pPr>
      <w:r>
        <w:separator/>
      </w:r>
    </w:p>
  </w:endnote>
  <w:endnote w:type="continuationSeparator" w:id="0">
    <w:p w:rsidR="005B70FB" w:rsidRDefault="005B70FB" w:rsidP="003C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BD" w:rsidRDefault="004716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BD" w:rsidRDefault="004716B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BD" w:rsidRDefault="004716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FB" w:rsidRDefault="005B70FB" w:rsidP="003C71A3">
      <w:pPr>
        <w:spacing w:after="0" w:line="240" w:lineRule="auto"/>
      </w:pPr>
      <w:r>
        <w:separator/>
      </w:r>
    </w:p>
  </w:footnote>
  <w:footnote w:type="continuationSeparator" w:id="0">
    <w:p w:rsidR="005B70FB" w:rsidRDefault="005B70FB" w:rsidP="003C7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BD" w:rsidRDefault="004716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A3" w:rsidRPr="004716BD" w:rsidRDefault="003C71A3" w:rsidP="003C71A3">
    <w:pPr>
      <w:pStyle w:val="Nagwek"/>
      <w:jc w:val="right"/>
    </w:pPr>
    <w:bookmarkStart w:id="0" w:name="_GoBack"/>
    <w:r w:rsidRPr="004716BD">
      <w:t>Załącznik nr 3 do zapytania</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BD" w:rsidRDefault="004716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874"/>
    <w:multiLevelType w:val="hybridMultilevel"/>
    <w:tmpl w:val="7CB6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E"/>
    <w:rsid w:val="0004331E"/>
    <w:rsid w:val="00095E95"/>
    <w:rsid w:val="000B0F6E"/>
    <w:rsid w:val="000C6BEA"/>
    <w:rsid w:val="001113A9"/>
    <w:rsid w:val="001748ED"/>
    <w:rsid w:val="003C71A3"/>
    <w:rsid w:val="00415AFE"/>
    <w:rsid w:val="004716BD"/>
    <w:rsid w:val="00501D45"/>
    <w:rsid w:val="005B70FB"/>
    <w:rsid w:val="005F7FED"/>
    <w:rsid w:val="00707DC8"/>
    <w:rsid w:val="007B2883"/>
    <w:rsid w:val="00881A33"/>
    <w:rsid w:val="009F0B5C"/>
    <w:rsid w:val="00A85687"/>
    <w:rsid w:val="00AE4569"/>
    <w:rsid w:val="00B81267"/>
    <w:rsid w:val="00DF5EB1"/>
    <w:rsid w:val="00F75314"/>
    <w:rsid w:val="00FE0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E92CF-CF05-4FDB-B362-7E18EF0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F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B0F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C71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71A3"/>
  </w:style>
  <w:style w:type="paragraph" w:styleId="Stopka">
    <w:name w:val="footer"/>
    <w:basedOn w:val="Normalny"/>
    <w:link w:val="StopkaZnak"/>
    <w:uiPriority w:val="99"/>
    <w:unhideWhenUsed/>
    <w:rsid w:val="003C7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Kowalska</dc:creator>
  <cp:keywords/>
  <dc:description/>
  <cp:lastModifiedBy>Magdalena Filipek</cp:lastModifiedBy>
  <cp:revision>4</cp:revision>
  <dcterms:created xsi:type="dcterms:W3CDTF">2024-01-16T11:28:00Z</dcterms:created>
  <dcterms:modified xsi:type="dcterms:W3CDTF">2024-01-16T11:38:00Z</dcterms:modified>
</cp:coreProperties>
</file>