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B" w:rsidRPr="00EE3DA1" w:rsidRDefault="00351E7B" w:rsidP="00351E7B">
      <w:pPr>
        <w:spacing w:line="360" w:lineRule="auto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 xml:space="preserve">Załącznik nr </w:t>
      </w:r>
      <w:r w:rsidR="00ED34F6">
        <w:rPr>
          <w:rFonts w:ascii="Verdana" w:hAnsi="Verdana"/>
          <w:b/>
          <w:szCs w:val="20"/>
        </w:rPr>
        <w:t>4</w:t>
      </w:r>
      <w:r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</w:t>
      </w:r>
      <w:r w:rsidR="00D0632B">
        <w:rPr>
          <w:rFonts w:ascii="Verdana" w:hAnsi="Verdana"/>
          <w:b/>
          <w:szCs w:val="20"/>
        </w:rPr>
        <w:t>Kasety do pomiaru zawartości endotoksyn bakteryjnych</w:t>
      </w:r>
    </w:p>
    <w:p w:rsidR="00351E7B" w:rsidRDefault="00351E7B" w:rsidP="00351E7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351E7B" w:rsidRDefault="00351E7B" w:rsidP="00351E7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5"/>
        <w:gridCol w:w="2689"/>
        <w:gridCol w:w="1598"/>
        <w:gridCol w:w="989"/>
        <w:gridCol w:w="1516"/>
        <w:gridCol w:w="1025"/>
        <w:gridCol w:w="1272"/>
      </w:tblGrid>
      <w:tr w:rsidR="003119D9" w:rsidRPr="00580895" w:rsidTr="003119D9">
        <w:trPr>
          <w:jc w:val="center"/>
        </w:trPr>
        <w:tc>
          <w:tcPr>
            <w:tcW w:w="545" w:type="dxa"/>
            <w:shd w:val="clear" w:color="auto" w:fill="B4C6E7" w:themeFill="accent5" w:themeFillTint="66"/>
            <w:vAlign w:val="center"/>
          </w:tcPr>
          <w:p w:rsidR="003119D9" w:rsidRPr="00C56EF6" w:rsidRDefault="003119D9" w:rsidP="00CB0B14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2689" w:type="dxa"/>
            <w:shd w:val="clear" w:color="auto" w:fill="B4C6E7" w:themeFill="accent5" w:themeFillTint="66"/>
            <w:vAlign w:val="center"/>
          </w:tcPr>
          <w:p w:rsidR="003119D9" w:rsidRPr="00C56EF6" w:rsidRDefault="003119D9" w:rsidP="00CB0B14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Specyfikacja</w:t>
            </w:r>
          </w:p>
        </w:tc>
        <w:tc>
          <w:tcPr>
            <w:tcW w:w="1598" w:type="dxa"/>
            <w:shd w:val="clear" w:color="auto" w:fill="B4C6E7" w:themeFill="accent5" w:themeFillTint="66"/>
            <w:vAlign w:val="center"/>
          </w:tcPr>
          <w:p w:rsidR="003119D9" w:rsidRPr="00C56EF6" w:rsidRDefault="003119D9" w:rsidP="00CB0B14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Jednostka miary</w:t>
            </w:r>
          </w:p>
        </w:tc>
        <w:tc>
          <w:tcPr>
            <w:tcW w:w="989" w:type="dxa"/>
            <w:shd w:val="clear" w:color="auto" w:fill="B4C6E7" w:themeFill="accent5" w:themeFillTint="66"/>
            <w:vAlign w:val="center"/>
          </w:tcPr>
          <w:p w:rsidR="003119D9" w:rsidRPr="00C56EF6" w:rsidRDefault="003119D9" w:rsidP="00CB0B14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516" w:type="dxa"/>
            <w:shd w:val="clear" w:color="auto" w:fill="B4C6E7" w:themeFill="accent5" w:themeFillTint="66"/>
          </w:tcPr>
          <w:p w:rsidR="003119D9" w:rsidRPr="00C56EF6" w:rsidRDefault="003119D9" w:rsidP="00C56EF6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Cena jed</w:t>
            </w:r>
            <w:r w:rsidR="00C56EF6">
              <w:rPr>
                <w:rFonts w:ascii="Verdana" w:hAnsi="Verdana"/>
                <w:sz w:val="16"/>
              </w:rPr>
              <w:t>nostkowa netto za op.</w:t>
            </w:r>
          </w:p>
        </w:tc>
        <w:tc>
          <w:tcPr>
            <w:tcW w:w="1025" w:type="dxa"/>
            <w:shd w:val="clear" w:color="auto" w:fill="B4C6E7" w:themeFill="accent5" w:themeFillTint="66"/>
          </w:tcPr>
          <w:p w:rsidR="003119D9" w:rsidRPr="00C56EF6" w:rsidRDefault="00C56EF6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3119D9" w:rsidRPr="00C56EF6" w:rsidRDefault="003119D9" w:rsidP="00CB0B14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netto</w:t>
            </w:r>
          </w:p>
        </w:tc>
        <w:tc>
          <w:tcPr>
            <w:tcW w:w="1272" w:type="dxa"/>
            <w:shd w:val="clear" w:color="auto" w:fill="B4C6E7" w:themeFill="accent5" w:themeFillTint="66"/>
          </w:tcPr>
          <w:p w:rsidR="003119D9" w:rsidRPr="00C56EF6" w:rsidRDefault="00C56EF6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  <w:bookmarkStart w:id="0" w:name="_GoBack"/>
            <w:bookmarkEnd w:id="0"/>
            <w:r>
              <w:rPr>
                <w:rFonts w:ascii="Verdana" w:hAnsi="Verdana"/>
                <w:sz w:val="16"/>
              </w:rPr>
              <w:t xml:space="preserve"> </w:t>
            </w:r>
            <w:r w:rsidR="003119D9" w:rsidRPr="00C56EF6">
              <w:rPr>
                <w:rFonts w:ascii="Verdana" w:hAnsi="Verdana"/>
                <w:sz w:val="16"/>
              </w:rPr>
              <w:t xml:space="preserve"> </w:t>
            </w:r>
          </w:p>
          <w:p w:rsidR="003119D9" w:rsidRPr="00C56EF6" w:rsidRDefault="003119D9" w:rsidP="00CB0B14">
            <w:pPr>
              <w:jc w:val="center"/>
              <w:rPr>
                <w:rFonts w:ascii="Verdana" w:hAnsi="Verdana"/>
                <w:sz w:val="16"/>
              </w:rPr>
            </w:pPr>
            <w:r w:rsidRPr="00C56EF6">
              <w:rPr>
                <w:rFonts w:ascii="Verdana" w:hAnsi="Verdana"/>
                <w:sz w:val="16"/>
              </w:rPr>
              <w:t>brutto</w:t>
            </w:r>
          </w:p>
        </w:tc>
      </w:tr>
      <w:tr w:rsidR="003119D9" w:rsidRPr="003119D9" w:rsidTr="003119D9">
        <w:trPr>
          <w:trHeight w:val="3133"/>
          <w:jc w:val="center"/>
        </w:trPr>
        <w:tc>
          <w:tcPr>
            <w:tcW w:w="545" w:type="dxa"/>
            <w:vAlign w:val="center"/>
          </w:tcPr>
          <w:p w:rsidR="003119D9" w:rsidRPr="003119D9" w:rsidRDefault="003119D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19D9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:rsidR="003119D9" w:rsidRPr="003119D9" w:rsidRDefault="003119D9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119D9">
              <w:rPr>
                <w:rFonts w:ascii="Verdana" w:hAnsi="Verdana" w:cs="Times New Roman"/>
                <w:b/>
                <w:sz w:val="18"/>
                <w:szCs w:val="18"/>
              </w:rPr>
              <w:t>Kasety do oznaczania zawartości endotoksyn bakteryjny</w:t>
            </w:r>
          </w:p>
          <w:p w:rsidR="003119D9" w:rsidRPr="003119D9" w:rsidRDefault="003119D9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19D9">
              <w:rPr>
                <w:rFonts w:ascii="Verdana" w:hAnsi="Verdana" w:cs="Times New Roman"/>
                <w:sz w:val="18"/>
                <w:szCs w:val="18"/>
              </w:rPr>
              <w:t xml:space="preserve">Kaseta kompatybilna z urządzeniem The </w:t>
            </w:r>
            <w:proofErr w:type="spellStart"/>
            <w:r w:rsidRPr="003119D9">
              <w:rPr>
                <w:rFonts w:ascii="Verdana" w:hAnsi="Verdana" w:cs="Times New Roman"/>
                <w:sz w:val="18"/>
                <w:szCs w:val="18"/>
              </w:rPr>
              <w:t>Endosafe</w:t>
            </w:r>
            <w:proofErr w:type="spellEnd"/>
            <w:r w:rsidRPr="003119D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119D9">
              <w:rPr>
                <w:rFonts w:ascii="Verdana" w:hAnsi="Verdana" w:cs="Times New Roman"/>
                <w:sz w:val="18"/>
                <w:szCs w:val="18"/>
              </w:rPr>
              <w:t>nexgen</w:t>
            </w:r>
            <w:proofErr w:type="spellEnd"/>
            <w:r w:rsidRPr="003119D9">
              <w:rPr>
                <w:rFonts w:ascii="Verdana" w:hAnsi="Verdana" w:cs="Times New Roman"/>
                <w:sz w:val="18"/>
                <w:szCs w:val="18"/>
              </w:rPr>
              <w:t>-PTS firmy Charles River.</w:t>
            </w:r>
          </w:p>
          <w:p w:rsidR="003119D9" w:rsidRPr="003119D9" w:rsidRDefault="003119D9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19D9">
              <w:rPr>
                <w:rFonts w:ascii="Verdana" w:hAnsi="Verdana" w:cs="Times New Roman"/>
                <w:sz w:val="18"/>
                <w:szCs w:val="18"/>
              </w:rPr>
              <w:t>Czułość kasety 0,1 – 10,0 EU/mL.</w:t>
            </w:r>
          </w:p>
          <w:p w:rsidR="003119D9" w:rsidRPr="003119D9" w:rsidRDefault="003119D9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19D9">
              <w:rPr>
                <w:rFonts w:ascii="Verdana" w:hAnsi="Verdana" w:cs="Times New Roman"/>
                <w:sz w:val="18"/>
                <w:szCs w:val="18"/>
              </w:rPr>
              <w:t>Pakowane po 10 sztuk w opakowaniu.</w:t>
            </w:r>
          </w:p>
          <w:p w:rsidR="003119D9" w:rsidRPr="003119D9" w:rsidRDefault="003119D9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119D9">
              <w:rPr>
                <w:rFonts w:ascii="Verdana" w:hAnsi="Verdana" w:cs="Times New Roman"/>
                <w:sz w:val="18"/>
                <w:szCs w:val="18"/>
              </w:rPr>
              <w:t>Termin ważności nie krótszy niż 6 miesięcy od daty dostawy.</w:t>
            </w:r>
          </w:p>
          <w:p w:rsidR="003119D9" w:rsidRPr="003119D9" w:rsidRDefault="003119D9" w:rsidP="00CB0B14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18"/>
                <w:szCs w:val="18"/>
              </w:rPr>
            </w:pPr>
            <w:r w:rsidRPr="003119D9">
              <w:rPr>
                <w:rFonts w:ascii="Verdana" w:hAnsi="Verdana" w:cs="Times New Roman"/>
                <w:sz w:val="18"/>
                <w:szCs w:val="18"/>
              </w:rPr>
              <w:t>Certyfikat analizy lub inny dokument potwierdzający jakość.</w:t>
            </w:r>
          </w:p>
        </w:tc>
        <w:tc>
          <w:tcPr>
            <w:tcW w:w="1598" w:type="dxa"/>
            <w:vAlign w:val="center"/>
          </w:tcPr>
          <w:p w:rsidR="003119D9" w:rsidRPr="003119D9" w:rsidRDefault="003119D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19D9">
              <w:rPr>
                <w:rFonts w:ascii="Verdana" w:hAnsi="Verdana"/>
                <w:b/>
                <w:sz w:val="18"/>
                <w:szCs w:val="18"/>
              </w:rPr>
              <w:t>Opakowanie</w:t>
            </w:r>
          </w:p>
        </w:tc>
        <w:tc>
          <w:tcPr>
            <w:tcW w:w="989" w:type="dxa"/>
            <w:vAlign w:val="center"/>
          </w:tcPr>
          <w:p w:rsidR="003119D9" w:rsidRPr="003119D9" w:rsidRDefault="003119D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19D9">
              <w:rPr>
                <w:rFonts w:ascii="Verdana" w:hAnsi="Verdana"/>
                <w:b/>
                <w:sz w:val="18"/>
                <w:szCs w:val="18"/>
              </w:rPr>
              <w:t>140</w:t>
            </w:r>
          </w:p>
        </w:tc>
        <w:tc>
          <w:tcPr>
            <w:tcW w:w="1516" w:type="dxa"/>
          </w:tcPr>
          <w:p w:rsidR="003119D9" w:rsidRPr="003119D9" w:rsidRDefault="003119D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3119D9" w:rsidRPr="003119D9" w:rsidRDefault="003119D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:rsidR="003119D9" w:rsidRPr="003119D9" w:rsidRDefault="003119D9" w:rsidP="00CB0B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0D31" w:rsidRPr="003119D9" w:rsidRDefault="00130D31">
      <w:pPr>
        <w:rPr>
          <w:sz w:val="18"/>
          <w:szCs w:val="18"/>
        </w:rPr>
      </w:pPr>
    </w:p>
    <w:sectPr w:rsidR="00130D31" w:rsidRPr="0031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16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5D8"/>
    <w:multiLevelType w:val="hybridMultilevel"/>
    <w:tmpl w:val="84AAF8E0"/>
    <w:lvl w:ilvl="0" w:tplc="D92C3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81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0CA3"/>
    <w:multiLevelType w:val="hybridMultilevel"/>
    <w:tmpl w:val="39A83204"/>
    <w:lvl w:ilvl="0" w:tplc="277C3E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17B44DD"/>
    <w:multiLevelType w:val="hybridMultilevel"/>
    <w:tmpl w:val="394C93A0"/>
    <w:lvl w:ilvl="0" w:tplc="AFFCD0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471662E9"/>
    <w:multiLevelType w:val="hybridMultilevel"/>
    <w:tmpl w:val="5B1A58F4"/>
    <w:lvl w:ilvl="0" w:tplc="18E0AC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A8E7C8A"/>
    <w:multiLevelType w:val="hybridMultilevel"/>
    <w:tmpl w:val="88665B84"/>
    <w:lvl w:ilvl="0" w:tplc="24682C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DFF6E5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3D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0E3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3C14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B"/>
    <w:rsid w:val="001078E8"/>
    <w:rsid w:val="00130D31"/>
    <w:rsid w:val="002418B9"/>
    <w:rsid w:val="003119D9"/>
    <w:rsid w:val="00351E7B"/>
    <w:rsid w:val="005A6A30"/>
    <w:rsid w:val="006359DC"/>
    <w:rsid w:val="006A6CF5"/>
    <w:rsid w:val="00913460"/>
    <w:rsid w:val="00991909"/>
    <w:rsid w:val="00C11B2B"/>
    <w:rsid w:val="00C43823"/>
    <w:rsid w:val="00C56EF6"/>
    <w:rsid w:val="00D0632B"/>
    <w:rsid w:val="00D125E6"/>
    <w:rsid w:val="00ED34F6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A5F8"/>
  <w15:chartTrackingRefBased/>
  <w15:docId w15:val="{CB588473-2DA3-47E7-9A06-E30D1E7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4</cp:revision>
  <dcterms:created xsi:type="dcterms:W3CDTF">2021-04-15T12:45:00Z</dcterms:created>
  <dcterms:modified xsi:type="dcterms:W3CDTF">2021-04-16T05:50:00Z</dcterms:modified>
</cp:coreProperties>
</file>