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77" w:rsidRPr="00902377" w:rsidRDefault="00902377" w:rsidP="00902377">
      <w:pPr>
        <w:spacing w:after="60"/>
        <w:jc w:val="both"/>
        <w:rPr>
          <w:rFonts w:ascii="Cambria" w:hAnsi="Cambria" w:cs="Arial"/>
          <w:i/>
          <w:sz w:val="10"/>
          <w:szCs w:val="10"/>
        </w:rPr>
      </w:pPr>
      <w:bookmarkStart w:id="0" w:name="_GoBack"/>
      <w:bookmarkEnd w:id="0"/>
    </w:p>
    <w:p w:rsidR="00902377" w:rsidRPr="00902377" w:rsidRDefault="00902377" w:rsidP="00902377">
      <w:pPr>
        <w:spacing w:after="60"/>
        <w:jc w:val="both"/>
        <w:rPr>
          <w:rFonts w:ascii="Cambria" w:hAnsi="Cambria" w:cs="Arial"/>
          <w:b/>
          <w:sz w:val="18"/>
          <w:szCs w:val="18"/>
        </w:rPr>
      </w:pPr>
      <w:r w:rsidRPr="00902377">
        <w:rPr>
          <w:rFonts w:ascii="Cambria" w:hAnsi="Cambria" w:cs="Arial"/>
          <w:i/>
          <w:sz w:val="18"/>
          <w:szCs w:val="18"/>
        </w:rPr>
        <w:t xml:space="preserve">Numer referencyjny nadany sprawie przez Zamawiającego: </w:t>
      </w:r>
      <w:r w:rsidRPr="00902377">
        <w:rPr>
          <w:rFonts w:ascii="Cambria" w:hAnsi="Cambria" w:cs="Arial"/>
          <w:b/>
          <w:sz w:val="18"/>
          <w:szCs w:val="18"/>
        </w:rPr>
        <w:t xml:space="preserve">DA/AM-231-16/21                                                  </w:t>
      </w:r>
      <w:r w:rsidRPr="00902377">
        <w:rPr>
          <w:rFonts w:ascii="Cambria" w:hAnsi="Cambria" w:cs="Arial"/>
          <w:sz w:val="18"/>
          <w:szCs w:val="18"/>
        </w:rPr>
        <w:t>Załącznik nr 1</w:t>
      </w:r>
    </w:p>
    <w:p w:rsidR="00902377" w:rsidRDefault="00902377" w:rsidP="00902377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</w:p>
    <w:p w:rsidR="00902377" w:rsidRPr="00902377" w:rsidRDefault="00902377" w:rsidP="00902377">
      <w:pPr>
        <w:keepNext/>
        <w:spacing w:before="360" w:after="120"/>
        <w:jc w:val="center"/>
        <w:outlineLvl w:val="4"/>
        <w:rPr>
          <w:rFonts w:ascii="Cambria" w:hAnsi="Cambria" w:cs="Arial"/>
          <w:b/>
          <w:spacing w:val="30"/>
          <w:szCs w:val="20"/>
        </w:rPr>
      </w:pPr>
      <w:r w:rsidRPr="00902377">
        <w:rPr>
          <w:rFonts w:ascii="Cambria" w:hAnsi="Cambria" w:cs="Arial"/>
          <w:b/>
          <w:spacing w:val="30"/>
          <w:szCs w:val="20"/>
        </w:rPr>
        <w:t>PARAMETRY TECHNICZNE</w:t>
      </w:r>
    </w:p>
    <w:p w:rsidR="00902377" w:rsidRPr="00902377" w:rsidRDefault="00902377" w:rsidP="00902377">
      <w:pPr>
        <w:jc w:val="center"/>
        <w:rPr>
          <w:rFonts w:ascii="Cambria" w:hAnsi="Cambria" w:cs="Calibri Light"/>
          <w:b/>
          <w:spacing w:val="26"/>
          <w:sz w:val="18"/>
          <w:szCs w:val="18"/>
        </w:rPr>
      </w:pPr>
      <w:r w:rsidRPr="00902377">
        <w:rPr>
          <w:rFonts w:ascii="Cambria" w:hAnsi="Cambria" w:cs="Calibri Light"/>
          <w:b/>
          <w:spacing w:val="26"/>
          <w:sz w:val="18"/>
          <w:szCs w:val="18"/>
        </w:rPr>
        <w:t>Zautomatyzowany wysokoprzepustowy system preparacji próbek biologicznych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020"/>
        <w:gridCol w:w="1336"/>
        <w:gridCol w:w="3113"/>
      </w:tblGrid>
      <w:tr w:rsidR="00902377" w:rsidRPr="00902377" w:rsidTr="00902377">
        <w:trPr>
          <w:trHeight w:val="851"/>
          <w:jc w:val="center"/>
        </w:trPr>
        <w:tc>
          <w:tcPr>
            <w:tcW w:w="593" w:type="dxa"/>
            <w:shd w:val="clear" w:color="auto" w:fill="D5DCE4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spacing w:val="20"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LP.</w:t>
            </w:r>
          </w:p>
        </w:tc>
        <w:tc>
          <w:tcPr>
            <w:tcW w:w="4020" w:type="dxa"/>
            <w:shd w:val="clear" w:color="auto" w:fill="D5DCE4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spacing w:val="20"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PARAMETRY WYMAGANE</w:t>
            </w:r>
          </w:p>
        </w:tc>
        <w:tc>
          <w:tcPr>
            <w:tcW w:w="1336" w:type="dxa"/>
            <w:shd w:val="clear" w:color="auto" w:fill="D5DCE4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spacing w:val="20"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PARAMETR WYMAGANY</w:t>
            </w:r>
          </w:p>
        </w:tc>
        <w:tc>
          <w:tcPr>
            <w:tcW w:w="3113" w:type="dxa"/>
            <w:shd w:val="clear" w:color="auto" w:fill="D5DCE4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spacing w:val="20"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PARAMETRY OFEROWANE</w:t>
            </w:r>
          </w:p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spacing w:val="20"/>
                <w:sz w:val="16"/>
                <w:szCs w:val="16"/>
              </w:rPr>
            </w:pPr>
            <w:r w:rsidRPr="00902377">
              <w:rPr>
                <w:rFonts w:ascii="Cambria" w:hAnsi="Cambria" w:cs="Arial"/>
                <w:i/>
                <w:spacing w:val="20"/>
                <w:sz w:val="16"/>
                <w:szCs w:val="16"/>
              </w:rPr>
              <w:t>/</w:t>
            </w:r>
            <w:r w:rsidRPr="00902377">
              <w:rPr>
                <w:rFonts w:ascii="Cambria" w:hAnsi="Cambria" w:cs="Arial"/>
                <w:i/>
                <w:spacing w:val="10"/>
                <w:sz w:val="16"/>
                <w:szCs w:val="16"/>
              </w:rPr>
              <w:t>wypełnia Wykonawca – należy potwierdzić spełnienie wymagań poprzez „TAK” lub tam gdzie to wymagane podać posiadane parametry</w:t>
            </w:r>
            <w:r w:rsidRPr="00902377">
              <w:rPr>
                <w:rFonts w:ascii="Cambria" w:hAnsi="Cambria" w:cs="Arial"/>
                <w:i/>
                <w:spacing w:val="20"/>
                <w:sz w:val="16"/>
                <w:szCs w:val="16"/>
              </w:rPr>
              <w:t>/</w:t>
            </w:r>
          </w:p>
        </w:tc>
      </w:tr>
      <w:tr w:rsidR="00902377" w:rsidRPr="00902377" w:rsidTr="00902377">
        <w:trPr>
          <w:trHeight w:val="397"/>
          <w:jc w:val="center"/>
        </w:trPr>
        <w:tc>
          <w:tcPr>
            <w:tcW w:w="9062" w:type="dxa"/>
            <w:gridSpan w:val="4"/>
            <w:shd w:val="clear" w:color="auto" w:fill="DEEAF6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i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INFORMACJE OGÓLNE</w:t>
            </w: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Producent/kraj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2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Model/Typ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902377">
        <w:trPr>
          <w:trHeight w:val="1044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Urządzenie fabrycznie nowe (rok produkcji nie wcześniej niż 2020), kompletne i gotowe do użycia po spełnieniu przez Zamawiającego wymagań instalacyjnych– bez dodatkowych nakładów finansowych ze strony Zamawiającego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Oznakowanie znakiem CE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902377">
        <w:trPr>
          <w:trHeight w:val="397"/>
          <w:jc w:val="center"/>
        </w:trPr>
        <w:tc>
          <w:tcPr>
            <w:tcW w:w="9062" w:type="dxa"/>
            <w:gridSpan w:val="4"/>
            <w:shd w:val="clear" w:color="auto" w:fill="DEEAF6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b/>
                <w:i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PARAMETRY PODSTAWOWE</w:t>
            </w: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 xml:space="preserve">Urządzenia </w:t>
            </w:r>
            <w:proofErr w:type="spellStart"/>
            <w:r w:rsidRPr="00902377">
              <w:rPr>
                <w:rFonts w:ascii="Cambria" w:hAnsi="Cambria" w:cs="Calibri"/>
                <w:sz w:val="17"/>
                <w:szCs w:val="17"/>
              </w:rPr>
              <w:t>nastołowe</w:t>
            </w:r>
            <w:proofErr w:type="spellEnd"/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2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Sterowanie mikroprocesorowe realizowane z poziomu dotykowego wyświetlacza LCD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Możliwość zapisu parametrów procesu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Możliwość zapisywania danych procesu i eksportu na nośnik USB z szybkim dostępem na panelu przednim urządzenia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5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Klawiatura oraz mysz kompatybilna z urządzeniem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6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Technologia wykorzystywana podczas procesowania próbki:</w:t>
            </w:r>
          </w:p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 xml:space="preserve">Technologia Cyklicznej Zmiany Ciśnień (ang. </w:t>
            </w:r>
            <w:proofErr w:type="spellStart"/>
            <w:r w:rsidRPr="00902377">
              <w:rPr>
                <w:rFonts w:ascii="Cambria" w:hAnsi="Cambria" w:cs="Calibri"/>
                <w:sz w:val="17"/>
                <w:szCs w:val="17"/>
              </w:rPr>
              <w:t>Pressure</w:t>
            </w:r>
            <w:proofErr w:type="spellEnd"/>
            <w:r w:rsidRPr="00902377">
              <w:rPr>
                <w:rFonts w:ascii="Cambria" w:hAnsi="Cambria" w:cs="Calibri"/>
                <w:sz w:val="17"/>
                <w:szCs w:val="17"/>
              </w:rPr>
              <w:t xml:space="preserve"> </w:t>
            </w:r>
            <w:proofErr w:type="spellStart"/>
            <w:r w:rsidRPr="00902377">
              <w:rPr>
                <w:rFonts w:ascii="Cambria" w:hAnsi="Cambria" w:cs="Calibri"/>
                <w:sz w:val="17"/>
                <w:szCs w:val="17"/>
              </w:rPr>
              <w:t>Cycling</w:t>
            </w:r>
            <w:proofErr w:type="spellEnd"/>
            <w:r w:rsidRPr="00902377">
              <w:rPr>
                <w:rFonts w:ascii="Cambria" w:hAnsi="Cambria" w:cs="Calibri"/>
                <w:sz w:val="17"/>
                <w:szCs w:val="17"/>
              </w:rPr>
              <w:t xml:space="preserve"> Technology, PCT)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7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 xml:space="preserve">Maksymalne ciśnienie robocze nie mniejsze niż </w:t>
            </w:r>
          </w:p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45 000 psi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8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Zakres temperaturowy pracy termostatowanej komory ciśnieniowej</w:t>
            </w:r>
            <w:r w:rsidRPr="00902377">
              <w:rPr>
                <w:rFonts w:ascii="Cambria" w:hAnsi="Cambria"/>
                <w:sz w:val="17"/>
                <w:szCs w:val="17"/>
              </w:rPr>
              <w:t xml:space="preserve"> </w:t>
            </w:r>
            <w:r w:rsidRPr="00902377">
              <w:rPr>
                <w:rFonts w:ascii="Cambria" w:hAnsi="Cambria" w:cs="Calibri"/>
                <w:sz w:val="17"/>
                <w:szCs w:val="17"/>
              </w:rPr>
              <w:t>od co najmniej 4°C do co najmniej 90°C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902377">
        <w:trPr>
          <w:trHeight w:val="141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9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Tryb pracy komory ciśnieniowej: </w:t>
            </w:r>
          </w:p>
          <w:p w:rsidR="00902377" w:rsidRPr="00902377" w:rsidRDefault="00902377" w:rsidP="00D369E5">
            <w:pPr>
              <w:spacing w:before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(1) tryb grzania/chłodzenia oraz </w:t>
            </w:r>
          </w:p>
          <w:p w:rsidR="00902377" w:rsidRPr="00902377" w:rsidRDefault="00902377" w:rsidP="00D369E5">
            <w:pPr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(2) tylko tryb grzania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Rodzaj zamknięcia komory ciśnieniowej:</w:t>
            </w:r>
            <w:r w:rsidRPr="00902377">
              <w:rPr>
                <w:rFonts w:ascii="Cambria" w:hAnsi="Cambria"/>
                <w:sz w:val="17"/>
                <w:szCs w:val="17"/>
              </w:rPr>
              <w:t xml:space="preserve"> </w:t>
            </w:r>
          </w:p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zamknięcie izolowane ułatwiające pracę w przypadku termostatowania powyżej 42°C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11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Objętość robocza procesowanej próbki</w:t>
            </w:r>
            <w:r w:rsidRPr="00902377">
              <w:rPr>
                <w:rFonts w:ascii="Cambria" w:hAnsi="Cambria"/>
                <w:sz w:val="17"/>
                <w:szCs w:val="17"/>
              </w:rPr>
              <w:t xml:space="preserve"> </w:t>
            </w:r>
            <w:r w:rsidRPr="00902377">
              <w:rPr>
                <w:rFonts w:ascii="Cambria" w:hAnsi="Cambria" w:cs="Calibri"/>
                <w:sz w:val="17"/>
                <w:szCs w:val="17"/>
              </w:rPr>
              <w:t>minimalna: 50 µL maksymalna: 400 µL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12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Liczba próbek, które można jednorazowo załadować do komory ciśnieniowej: </w:t>
            </w:r>
          </w:p>
          <w:p w:rsidR="00902377" w:rsidRPr="00902377" w:rsidRDefault="00902377" w:rsidP="00902377">
            <w:pPr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(1) od 1 do 16 mikroprobówek o poj. do 150 µL</w:t>
            </w:r>
          </w:p>
          <w:p w:rsidR="00902377" w:rsidRPr="00902377" w:rsidRDefault="00902377" w:rsidP="00902377">
            <w:pPr>
              <w:spacing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(2) 1 probówka o poj. 400 µL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13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Minimalna liczba programowanych cykli pracy nie mniejsza niż 90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14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Minimalny programowany czas procesu nie krótszy niż 60 minut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15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Ciśnienie zasilającego gazu nośnego nie mniejsze niż 110 psi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16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Zasilanie elektryczne 230 V/50 </w:t>
            </w:r>
            <w:proofErr w:type="spellStart"/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Hz</w:t>
            </w:r>
            <w:proofErr w:type="spellEnd"/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17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Wymiary zewnętrzne nie większe niż 50 cm x 45 cm x 50 cm (szerokość x wysokość x długość)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18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902377">
              <w:rPr>
                <w:rFonts w:ascii="Cambria" w:hAnsi="Cambria" w:cs="Calibri"/>
                <w:color w:val="000000"/>
                <w:sz w:val="17"/>
                <w:szCs w:val="17"/>
              </w:rPr>
              <w:t>Masa nie większa niż 50 kg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902377">
        <w:trPr>
          <w:trHeight w:val="454"/>
          <w:jc w:val="center"/>
        </w:trPr>
        <w:tc>
          <w:tcPr>
            <w:tcW w:w="9062" w:type="dxa"/>
            <w:gridSpan w:val="4"/>
            <w:shd w:val="clear" w:color="auto" w:fill="DEEAF6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b/>
                <w:spacing w:val="20"/>
                <w:sz w:val="17"/>
                <w:szCs w:val="17"/>
              </w:rPr>
              <w:t>GWARANCJA I SERWIS</w:t>
            </w: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Gwarancja 24 miesiące na cały zestaw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2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40" w:after="4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Przegląd/y w okresie gwarancji zgodnie z wymaganiami dokumentacji techniczno-eksploatacyjnej urządzenia wraz ze wszystkimi materiałami niezbędnymi do wykonania przeglądu zgodnie z zaleceniami producenta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TAK, podać częstotliwość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center"/>
          </w:tcPr>
          <w:p w:rsidR="00902377" w:rsidRPr="00902377" w:rsidRDefault="00902377" w:rsidP="00902377">
            <w:pPr>
              <w:spacing w:before="40" w:after="4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Szkolenie personelu Zamawiającego z zakresu obsługi i konserwacji</w:t>
            </w:r>
          </w:p>
        </w:tc>
        <w:tc>
          <w:tcPr>
            <w:tcW w:w="1336" w:type="dxa"/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02377" w:rsidRPr="00902377" w:rsidTr="00151E22">
        <w:trPr>
          <w:trHeight w:val="510"/>
          <w:jc w:val="center"/>
        </w:trPr>
        <w:tc>
          <w:tcPr>
            <w:tcW w:w="59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902377">
              <w:rPr>
                <w:rFonts w:ascii="Cambria" w:hAnsi="Cambria" w:cs="Arial"/>
                <w:sz w:val="17"/>
                <w:szCs w:val="17"/>
              </w:rPr>
              <w:t>4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902377" w:rsidRPr="00902377" w:rsidRDefault="00902377" w:rsidP="00902377">
            <w:pPr>
              <w:spacing w:before="120" w:after="120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Instrukcja obsługi urządzenia w języku angielskim  – dostarczona wraz z urządzeniem w formie papierowej oraz elektronicznej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02377" w:rsidRPr="00902377" w:rsidRDefault="00902377" w:rsidP="00902377">
            <w:pPr>
              <w:spacing w:before="120" w:after="120"/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902377">
              <w:rPr>
                <w:rFonts w:ascii="Cambria" w:hAnsi="Cambria" w:cs="Calibri"/>
                <w:sz w:val="17"/>
                <w:szCs w:val="17"/>
              </w:rPr>
              <w:t>TAK</w:t>
            </w:r>
          </w:p>
        </w:tc>
        <w:tc>
          <w:tcPr>
            <w:tcW w:w="3113" w:type="dxa"/>
            <w:vAlign w:val="center"/>
          </w:tcPr>
          <w:p w:rsidR="00902377" w:rsidRPr="00902377" w:rsidRDefault="00902377" w:rsidP="00902377">
            <w:pPr>
              <w:tabs>
                <w:tab w:val="num" w:pos="426"/>
              </w:tabs>
              <w:spacing w:before="120" w:after="120"/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:rsidR="00902377" w:rsidRPr="00902377" w:rsidRDefault="00902377" w:rsidP="00902377">
      <w:pPr>
        <w:tabs>
          <w:tab w:val="left" w:pos="1065"/>
        </w:tabs>
        <w:spacing w:before="60" w:after="120"/>
        <w:jc w:val="center"/>
        <w:rPr>
          <w:rFonts w:ascii="Cambria" w:hAnsi="Cambria" w:cs="Arial"/>
          <w:b/>
          <w:i/>
          <w:sz w:val="16"/>
          <w:szCs w:val="16"/>
        </w:rPr>
      </w:pPr>
      <w:r w:rsidRPr="00902377">
        <w:rPr>
          <w:rFonts w:ascii="Cambria" w:hAnsi="Cambria" w:cs="Arial"/>
          <w:b/>
          <w:i/>
          <w:sz w:val="16"/>
          <w:szCs w:val="16"/>
        </w:rPr>
        <w:t>Wymagane parametry techniczne określone przez Zamawiającego w niniejszym druku są warunkami granicznymi. Nie spełnienie nawet jednego z ww. wymagań spowoduje odrzucenie oferty.</w:t>
      </w:r>
    </w:p>
    <w:p w:rsidR="00902377" w:rsidRPr="00902377" w:rsidRDefault="00902377" w:rsidP="00902377">
      <w:pPr>
        <w:tabs>
          <w:tab w:val="left" w:pos="142"/>
        </w:tabs>
        <w:spacing w:before="960"/>
        <w:jc w:val="both"/>
        <w:rPr>
          <w:rFonts w:ascii="Cambria" w:hAnsi="Cambria" w:cs="Arial"/>
          <w:sz w:val="16"/>
          <w:szCs w:val="16"/>
        </w:rPr>
      </w:pPr>
      <w:r w:rsidRPr="00902377">
        <w:rPr>
          <w:rFonts w:ascii="Cambria" w:hAnsi="Cambria" w:cs="Arial"/>
          <w:sz w:val="16"/>
          <w:szCs w:val="16"/>
        </w:rPr>
        <w:tab/>
        <w:t>data _______________________</w:t>
      </w:r>
    </w:p>
    <w:p w:rsidR="00902377" w:rsidRPr="00902377" w:rsidRDefault="00902377" w:rsidP="00902377">
      <w:pPr>
        <w:ind w:left="5529"/>
        <w:rPr>
          <w:rFonts w:ascii="Cambria" w:hAnsi="Cambria" w:cs="Arial"/>
          <w:sz w:val="16"/>
          <w:szCs w:val="16"/>
        </w:rPr>
      </w:pPr>
      <w:r w:rsidRPr="00902377">
        <w:rPr>
          <w:rFonts w:ascii="Cambria" w:hAnsi="Cambria" w:cs="Arial"/>
          <w:sz w:val="16"/>
          <w:szCs w:val="16"/>
        </w:rPr>
        <w:t>________________________________________________________</w:t>
      </w:r>
    </w:p>
    <w:p w:rsidR="00902377" w:rsidRPr="00902377" w:rsidRDefault="00902377" w:rsidP="00902377">
      <w:pPr>
        <w:ind w:left="5529"/>
        <w:rPr>
          <w:rFonts w:ascii="Cambria" w:hAnsi="Cambria" w:cs="Arial"/>
          <w:i/>
          <w:sz w:val="16"/>
          <w:szCs w:val="16"/>
        </w:rPr>
      </w:pPr>
      <w:r w:rsidRPr="00902377">
        <w:rPr>
          <w:rFonts w:ascii="Cambria" w:hAnsi="Cambria" w:cs="Arial"/>
          <w:i/>
          <w:sz w:val="16"/>
          <w:szCs w:val="16"/>
        </w:rPr>
        <w:t>(podpis kwalifikowanym podpisem elektronicznym osoby/osób</w:t>
      </w:r>
      <w:r w:rsidRPr="00902377">
        <w:rPr>
          <w:rFonts w:ascii="Cambria" w:hAnsi="Cambria" w:cs="Arial"/>
          <w:i/>
          <w:iCs/>
          <w:sz w:val="16"/>
          <w:szCs w:val="16"/>
        </w:rPr>
        <w:t xml:space="preserve">  upoważnionej/upoważnionych </w:t>
      </w:r>
      <w:r w:rsidRPr="00902377">
        <w:rPr>
          <w:rFonts w:ascii="Cambria" w:hAnsi="Cambria" w:cs="Arial"/>
          <w:i/>
          <w:sz w:val="16"/>
          <w:szCs w:val="16"/>
        </w:rPr>
        <w:t>do reprezentowania Wykonawcy)</w:t>
      </w:r>
    </w:p>
    <w:p w:rsidR="00902377" w:rsidRPr="00902377" w:rsidRDefault="00902377" w:rsidP="0090237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02377" w:rsidRPr="00902377" w:rsidRDefault="00902377" w:rsidP="0090237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27B9" w:rsidRPr="00902377" w:rsidRDefault="00E427B9" w:rsidP="00902377"/>
    <w:sectPr w:rsidR="00E427B9" w:rsidRPr="00902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28" w:rsidRDefault="00672D28" w:rsidP="007C5547">
      <w:r>
        <w:separator/>
      </w:r>
    </w:p>
  </w:endnote>
  <w:endnote w:type="continuationSeparator" w:id="0">
    <w:p w:rsidR="00672D28" w:rsidRDefault="00672D28" w:rsidP="007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47" w:rsidRDefault="007C5547" w:rsidP="007C5547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200025</wp:posOffset>
          </wp:positionV>
          <wp:extent cx="1200150" cy="428625"/>
          <wp:effectExtent l="0" t="0" r="0" b="952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C5547" w:rsidRDefault="007C5547" w:rsidP="007C5547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78105</wp:posOffset>
          </wp:positionV>
          <wp:extent cx="1076325" cy="390525"/>
          <wp:effectExtent l="0" t="0" r="9525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2447925</wp:posOffset>
              </wp:positionH>
              <wp:positionV relativeFrom="margin">
                <wp:posOffset>8910955</wp:posOffset>
              </wp:positionV>
              <wp:extent cx="5009515" cy="542925"/>
              <wp:effectExtent l="0" t="0" r="63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547" w:rsidRPr="00861310" w:rsidRDefault="007C5547" w:rsidP="003A759B">
                          <w:pPr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6131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The project </w:t>
                          </w:r>
                          <w:r w:rsidRPr="00861310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Serum metabolome profiling in breast cancer risk assessment</w:t>
                          </w:r>
                          <w:r w:rsidRPr="0086131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received funding from the Norway Grants 2014-2021</w:t>
                          </w:r>
                        </w:p>
                        <w:p w:rsidR="007C5547" w:rsidRPr="006A4367" w:rsidRDefault="007C5547" w:rsidP="003A759B">
                          <w:pPr>
                            <w:ind w:left="1276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61310">
                            <w:rPr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2905125" cy="257175"/>
                                <wp:effectExtent l="0" t="0" r="9525" b="9525"/>
                                <wp:docPr id="61" name="Obraz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51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92.75pt;margin-top:701.65pt;width:394.4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" stroked="f">
              <v:textbox inset="0,0,0,0">
                <w:txbxContent>
                  <w:p w:rsidR="007C5547" w:rsidRPr="00861310" w:rsidRDefault="007C5547" w:rsidP="003A759B">
                    <w:pPr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861310">
                      <w:rPr>
                        <w:sz w:val="14"/>
                        <w:szCs w:val="14"/>
                        <w:lang w:val="en-US"/>
                      </w:rPr>
                      <w:t xml:space="preserve">The project </w:t>
                    </w:r>
                    <w:r w:rsidRPr="00861310">
                      <w:rPr>
                        <w:i/>
                        <w:sz w:val="14"/>
                        <w:szCs w:val="14"/>
                        <w:lang w:val="en-US"/>
                      </w:rPr>
                      <w:t>Serum metabolome profiling in breast cancer risk assessment</w:t>
                    </w:r>
                    <w:r w:rsidRPr="00861310">
                      <w:rPr>
                        <w:sz w:val="14"/>
                        <w:szCs w:val="14"/>
                        <w:lang w:val="en-US"/>
                      </w:rPr>
                      <w:t xml:space="preserve"> received funding from the Norway Grants 2014-2021</w:t>
                    </w:r>
                  </w:p>
                  <w:p w:rsidR="007C5547" w:rsidRPr="006A4367" w:rsidRDefault="007C5547" w:rsidP="003A759B">
                    <w:pPr>
                      <w:ind w:left="1276"/>
                      <w:jc w:val="center"/>
                      <w:rPr>
                        <w:sz w:val="14"/>
                        <w:szCs w:val="14"/>
                      </w:rPr>
                    </w:pPr>
                    <w:r w:rsidRPr="00861310">
                      <w:rPr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2905125" cy="25717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51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:rsidR="007C5547" w:rsidRPr="00950911" w:rsidRDefault="007C5547" w:rsidP="007C5547">
    <w:pPr>
      <w:pStyle w:val="Stopka"/>
    </w:pPr>
  </w:p>
  <w:p w:rsidR="007C5547" w:rsidRDefault="007C5547" w:rsidP="003A759B">
    <w:pPr>
      <w:pStyle w:val="Stopka"/>
      <w:tabs>
        <w:tab w:val="clear" w:pos="4536"/>
        <w:tab w:val="clear" w:pos="9072"/>
        <w:tab w:val="left" w:pos="1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28" w:rsidRDefault="00672D28" w:rsidP="007C5547">
      <w:r>
        <w:separator/>
      </w:r>
    </w:p>
  </w:footnote>
  <w:footnote w:type="continuationSeparator" w:id="0">
    <w:p w:rsidR="00672D28" w:rsidRDefault="00672D28" w:rsidP="007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47" w:rsidRDefault="007C554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485775" cy="542925"/>
          <wp:effectExtent l="0" t="0" r="9525" b="9525"/>
          <wp:wrapNone/>
          <wp:docPr id="58" name="Obraz 58" descr="Logo norw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rw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CC2"/>
    <w:multiLevelType w:val="hybridMultilevel"/>
    <w:tmpl w:val="98C07E9E"/>
    <w:lvl w:ilvl="0" w:tplc="EEEEE86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EC22E6"/>
    <w:multiLevelType w:val="hybridMultilevel"/>
    <w:tmpl w:val="28EC6264"/>
    <w:lvl w:ilvl="0" w:tplc="F6C692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9"/>
    <w:rsid w:val="000A2E00"/>
    <w:rsid w:val="001711B6"/>
    <w:rsid w:val="00194BB3"/>
    <w:rsid w:val="00273AC8"/>
    <w:rsid w:val="00294A2D"/>
    <w:rsid w:val="00353E84"/>
    <w:rsid w:val="003A759B"/>
    <w:rsid w:val="005873A6"/>
    <w:rsid w:val="00590E2B"/>
    <w:rsid w:val="0065162D"/>
    <w:rsid w:val="00672D28"/>
    <w:rsid w:val="00682046"/>
    <w:rsid w:val="006E3550"/>
    <w:rsid w:val="007330FC"/>
    <w:rsid w:val="007C5547"/>
    <w:rsid w:val="008D477E"/>
    <w:rsid w:val="00902377"/>
    <w:rsid w:val="009F4ED5"/>
    <w:rsid w:val="00A85355"/>
    <w:rsid w:val="00AF3DB2"/>
    <w:rsid w:val="00C71F23"/>
    <w:rsid w:val="00D369E5"/>
    <w:rsid w:val="00D95274"/>
    <w:rsid w:val="00E427B9"/>
    <w:rsid w:val="00E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62563-D964-4695-9895-75EF244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C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C5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5547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5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547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A85355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0237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Ewa Stelmach</cp:lastModifiedBy>
  <cp:revision>2</cp:revision>
  <cp:lastPrinted>2021-03-09T07:49:00Z</cp:lastPrinted>
  <dcterms:created xsi:type="dcterms:W3CDTF">2021-03-11T10:40:00Z</dcterms:created>
  <dcterms:modified xsi:type="dcterms:W3CDTF">2021-03-11T10:40:00Z</dcterms:modified>
</cp:coreProperties>
</file>